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jc w:val="center"/>
        <w:tblCellSpacing w:w="0" w:type="dxa"/>
        <w:tblCellMar>
          <w:left w:w="0" w:type="dxa"/>
          <w:right w:w="0" w:type="dxa"/>
        </w:tblCellMar>
        <w:tblLook w:val="04A0"/>
      </w:tblPr>
      <w:tblGrid>
        <w:gridCol w:w="8306"/>
      </w:tblGrid>
      <w:tr w:rsidR="00326030" w:rsidRPr="00326030">
        <w:trPr>
          <w:tblCellSpacing w:w="0" w:type="dxa"/>
          <w:jc w:val="center"/>
        </w:trPr>
        <w:tc>
          <w:tcPr>
            <w:tcW w:w="0" w:type="auto"/>
            <w:vAlign w:val="center"/>
            <w:hideMark/>
          </w:tcPr>
          <w:tbl>
            <w:tblPr>
              <w:tblW w:w="5000" w:type="pct"/>
              <w:tblCellSpacing w:w="0" w:type="dxa"/>
              <w:tblCellMar>
                <w:left w:w="0" w:type="dxa"/>
                <w:right w:w="0" w:type="dxa"/>
              </w:tblCellMar>
              <w:tblLook w:val="04A0"/>
            </w:tblPr>
            <w:tblGrid>
              <w:gridCol w:w="8306"/>
            </w:tblGrid>
            <w:tr w:rsidR="00326030" w:rsidRPr="00326030">
              <w:trPr>
                <w:trHeight w:val="555"/>
                <w:tblCellSpacing w:w="0" w:type="dxa"/>
              </w:trPr>
              <w:tc>
                <w:tcPr>
                  <w:tcW w:w="0" w:type="auto"/>
                  <w:vAlign w:val="center"/>
                  <w:hideMark/>
                </w:tcPr>
                <w:p w:rsidR="00326030" w:rsidRPr="00326030" w:rsidRDefault="00326030" w:rsidP="00326030">
                  <w:pPr>
                    <w:widowControl/>
                    <w:spacing w:before="300" w:after="225" w:line="432" w:lineRule="auto"/>
                    <w:jc w:val="center"/>
                    <w:rPr>
                      <w:rFonts w:ascii="Arial" w:eastAsia="宋体" w:hAnsi="Arial" w:cs="Arial"/>
                      <w:b/>
                      <w:bCs/>
                      <w:color w:val="185895"/>
                      <w:kern w:val="0"/>
                      <w:sz w:val="36"/>
                      <w:szCs w:val="36"/>
                    </w:rPr>
                  </w:pPr>
                  <w:r w:rsidRPr="00326030">
                    <w:rPr>
                      <w:rFonts w:ascii="Arial" w:eastAsia="宋体" w:hAnsi="Arial" w:cs="Arial"/>
                      <w:b/>
                      <w:bCs/>
                      <w:color w:val="185895"/>
                      <w:kern w:val="0"/>
                      <w:sz w:val="36"/>
                      <w:szCs w:val="36"/>
                    </w:rPr>
                    <w:t>关于印发修订《企业会计准则第</w:t>
                  </w:r>
                  <w:r w:rsidRPr="00326030">
                    <w:rPr>
                      <w:rFonts w:ascii="Arial" w:eastAsia="宋体" w:hAnsi="Arial" w:cs="Arial"/>
                      <w:b/>
                      <w:bCs/>
                      <w:color w:val="185895"/>
                      <w:kern w:val="0"/>
                      <w:sz w:val="36"/>
                      <w:szCs w:val="36"/>
                    </w:rPr>
                    <w:t>33</w:t>
                  </w:r>
                  <w:r w:rsidRPr="00326030">
                    <w:rPr>
                      <w:rFonts w:ascii="Arial" w:eastAsia="宋体" w:hAnsi="Arial" w:cs="Arial"/>
                      <w:b/>
                      <w:bCs/>
                      <w:color w:val="185895"/>
                      <w:kern w:val="0"/>
                      <w:sz w:val="36"/>
                      <w:szCs w:val="36"/>
                    </w:rPr>
                    <w:t>号</w:t>
                  </w:r>
                  <w:r w:rsidRPr="00326030">
                    <w:rPr>
                      <w:rFonts w:ascii="Arial" w:eastAsia="宋体" w:hAnsi="Arial" w:cs="Arial"/>
                      <w:b/>
                      <w:bCs/>
                      <w:color w:val="185895"/>
                      <w:kern w:val="0"/>
                      <w:sz w:val="36"/>
                      <w:szCs w:val="36"/>
                    </w:rPr>
                    <w:t>——</w:t>
                  </w:r>
                  <w:r w:rsidRPr="00326030">
                    <w:rPr>
                      <w:rFonts w:ascii="Arial" w:eastAsia="宋体" w:hAnsi="Arial" w:cs="Arial"/>
                      <w:b/>
                      <w:bCs/>
                      <w:color w:val="185895"/>
                      <w:kern w:val="0"/>
                      <w:sz w:val="36"/>
                      <w:szCs w:val="36"/>
                    </w:rPr>
                    <w:t>合并财务报表》的通知</w:t>
                  </w:r>
                  <w:r w:rsidRPr="00326030">
                    <w:rPr>
                      <w:rFonts w:ascii="Arial" w:eastAsia="宋体" w:hAnsi="Arial" w:cs="Arial"/>
                      <w:b/>
                      <w:bCs/>
                      <w:color w:val="185895"/>
                      <w:kern w:val="0"/>
                      <w:sz w:val="36"/>
                      <w:szCs w:val="36"/>
                    </w:rPr>
                    <w:t xml:space="preserve"> </w:t>
                  </w:r>
                </w:p>
              </w:tc>
            </w:tr>
          </w:tbl>
          <w:p w:rsidR="00326030" w:rsidRPr="00326030" w:rsidRDefault="00326030" w:rsidP="00326030">
            <w:pPr>
              <w:widowControl/>
              <w:spacing w:line="432" w:lineRule="auto"/>
              <w:jc w:val="left"/>
              <w:rPr>
                <w:rFonts w:ascii="Arial" w:eastAsia="宋体" w:hAnsi="Arial" w:cs="Arial"/>
                <w:vanish/>
                <w:kern w:val="0"/>
                <w:sz w:val="18"/>
                <w:szCs w:val="18"/>
              </w:rPr>
            </w:pPr>
          </w:p>
          <w:tbl>
            <w:tblPr>
              <w:tblW w:w="5000" w:type="pct"/>
              <w:tblCellSpacing w:w="0" w:type="dxa"/>
              <w:tblCellMar>
                <w:left w:w="0" w:type="dxa"/>
                <w:right w:w="0" w:type="dxa"/>
              </w:tblCellMar>
              <w:tblLook w:val="04A0"/>
            </w:tblPr>
            <w:tblGrid>
              <w:gridCol w:w="8306"/>
            </w:tblGrid>
            <w:tr w:rsidR="00326030" w:rsidRPr="00326030">
              <w:trPr>
                <w:trHeight w:val="15"/>
                <w:tblCellSpacing w:w="0" w:type="dxa"/>
              </w:trPr>
              <w:tc>
                <w:tcPr>
                  <w:tcW w:w="0" w:type="auto"/>
                  <w:vAlign w:val="center"/>
                  <w:hideMark/>
                </w:tcPr>
                <w:p w:rsidR="00326030" w:rsidRPr="00326030" w:rsidRDefault="00326030" w:rsidP="00326030">
                  <w:pPr>
                    <w:widowControl/>
                    <w:spacing w:line="15" w:lineRule="atLeast"/>
                    <w:jc w:val="left"/>
                    <w:rPr>
                      <w:rFonts w:ascii="Arial" w:eastAsia="宋体" w:hAnsi="Arial" w:cs="Arial"/>
                      <w:kern w:val="0"/>
                      <w:sz w:val="18"/>
                      <w:szCs w:val="18"/>
                    </w:rPr>
                  </w:pPr>
                  <w:r w:rsidRPr="00326030">
                    <w:rPr>
                      <w:rFonts w:ascii="Arial" w:eastAsia="宋体" w:hAnsi="Arial" w:cs="Arial"/>
                      <w:kern w:val="0"/>
                      <w:sz w:val="18"/>
                      <w:szCs w:val="18"/>
                    </w:rPr>
                    <w:pict>
                      <v:rect id="_x0000_i1025" style="width:525pt;height:.75pt" o:hrpct="0" o:hralign="center" o:hrstd="t" o:hrnoshade="t" o:hr="t" fillcolor="#99c2e2" stroked="f"/>
                    </w:pict>
                  </w:r>
                </w:p>
              </w:tc>
            </w:tr>
          </w:tbl>
          <w:p w:rsidR="00326030" w:rsidRPr="00326030" w:rsidRDefault="00326030" w:rsidP="00326030">
            <w:pPr>
              <w:widowControl/>
              <w:spacing w:line="432" w:lineRule="auto"/>
              <w:jc w:val="left"/>
              <w:rPr>
                <w:rFonts w:ascii="Arial" w:eastAsia="宋体" w:hAnsi="Arial" w:cs="Arial"/>
                <w:vanish/>
                <w:kern w:val="0"/>
                <w:sz w:val="18"/>
                <w:szCs w:val="18"/>
              </w:rPr>
            </w:pPr>
          </w:p>
          <w:tbl>
            <w:tblPr>
              <w:tblW w:w="5000" w:type="pct"/>
              <w:tblCellSpacing w:w="0" w:type="dxa"/>
              <w:tblCellMar>
                <w:left w:w="0" w:type="dxa"/>
                <w:right w:w="0" w:type="dxa"/>
              </w:tblCellMar>
              <w:tblLook w:val="04A0"/>
            </w:tblPr>
            <w:tblGrid>
              <w:gridCol w:w="8306"/>
            </w:tblGrid>
            <w:tr w:rsidR="00326030" w:rsidRPr="00326030">
              <w:trPr>
                <w:tblCellSpacing w:w="0" w:type="dxa"/>
              </w:trPr>
              <w:tc>
                <w:tcPr>
                  <w:tcW w:w="0" w:type="auto"/>
                  <w:vAlign w:val="center"/>
                  <w:hideMark/>
                </w:tcPr>
                <w:p w:rsidR="00326030" w:rsidRPr="00326030" w:rsidRDefault="00326030" w:rsidP="00326030">
                  <w:pPr>
                    <w:widowControl/>
                    <w:spacing w:line="432" w:lineRule="auto"/>
                    <w:jc w:val="left"/>
                    <w:rPr>
                      <w:rFonts w:ascii="Arial" w:eastAsia="宋体" w:hAnsi="Arial" w:cs="Arial"/>
                      <w:kern w:val="0"/>
                      <w:sz w:val="24"/>
                      <w:szCs w:val="24"/>
                    </w:rPr>
                  </w:pPr>
                </w:p>
              </w:tc>
            </w:tr>
          </w:tbl>
          <w:p w:rsidR="00326030" w:rsidRPr="00326030" w:rsidRDefault="00326030" w:rsidP="00326030">
            <w:pPr>
              <w:widowControl/>
              <w:spacing w:line="432" w:lineRule="auto"/>
              <w:jc w:val="left"/>
              <w:rPr>
                <w:rFonts w:ascii="Arial" w:eastAsia="宋体" w:hAnsi="Arial" w:cs="Arial"/>
                <w:kern w:val="0"/>
                <w:sz w:val="18"/>
                <w:szCs w:val="18"/>
              </w:rPr>
            </w:pPr>
          </w:p>
        </w:tc>
      </w:tr>
      <w:tr w:rsidR="00326030" w:rsidRPr="00326030">
        <w:trPr>
          <w:tblCellSpacing w:w="0" w:type="dxa"/>
          <w:jc w:val="center"/>
        </w:trPr>
        <w:tc>
          <w:tcPr>
            <w:tcW w:w="0" w:type="auto"/>
            <w:vAlign w:val="center"/>
            <w:hideMark/>
          </w:tcPr>
          <w:tbl>
            <w:tblPr>
              <w:tblW w:w="5000" w:type="pct"/>
              <w:tblCellSpacing w:w="0" w:type="dxa"/>
              <w:shd w:val="clear" w:color="auto" w:fill="FFFFFF"/>
              <w:tblCellMar>
                <w:left w:w="0" w:type="dxa"/>
                <w:right w:w="0" w:type="dxa"/>
              </w:tblCellMar>
              <w:tblLook w:val="04A0"/>
            </w:tblPr>
            <w:tblGrid>
              <w:gridCol w:w="8306"/>
            </w:tblGrid>
            <w:tr w:rsidR="00326030" w:rsidRPr="00326030">
              <w:trPr>
                <w:trHeight w:val="1140"/>
                <w:tblCellSpacing w:w="0" w:type="dxa"/>
              </w:trPr>
              <w:tc>
                <w:tcPr>
                  <w:tcW w:w="0" w:type="auto"/>
                  <w:shd w:val="clear" w:color="auto" w:fill="FFFFFF"/>
                  <w:hideMark/>
                </w:tcPr>
                <w:tbl>
                  <w:tblPr>
                    <w:tblW w:w="4250" w:type="pct"/>
                    <w:jc w:val="center"/>
                    <w:tblCellSpacing w:w="0" w:type="dxa"/>
                    <w:tblCellMar>
                      <w:left w:w="0" w:type="dxa"/>
                      <w:right w:w="0" w:type="dxa"/>
                    </w:tblCellMar>
                    <w:tblLook w:val="04A0"/>
                  </w:tblPr>
                  <w:tblGrid>
                    <w:gridCol w:w="7060"/>
                  </w:tblGrid>
                  <w:tr w:rsidR="00326030" w:rsidRPr="00326030">
                    <w:trPr>
                      <w:tblCellSpacing w:w="0" w:type="dxa"/>
                      <w:jc w:val="center"/>
                    </w:trPr>
                    <w:tc>
                      <w:tcPr>
                        <w:tcW w:w="0" w:type="auto"/>
                        <w:vAlign w:val="center"/>
                        <w:hideMark/>
                      </w:tcPr>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kern w:val="0"/>
                            <w:sz w:val="24"/>
                            <w:szCs w:val="24"/>
                          </w:rPr>
                          <w:t>财会</w:t>
                        </w:r>
                        <w:r w:rsidRPr="00326030">
                          <w:rPr>
                            <w:rFonts w:ascii="Arial" w:eastAsia="宋体" w:hAnsi="Arial" w:cs="Arial"/>
                            <w:kern w:val="0"/>
                            <w:sz w:val="24"/>
                            <w:szCs w:val="24"/>
                          </w:rPr>
                          <w:t>[2014]10</w:t>
                        </w:r>
                        <w:r w:rsidRPr="00326030">
                          <w:rPr>
                            <w:rFonts w:ascii="Arial" w:eastAsia="宋体" w:hAnsi="Arial" w:cs="Arial"/>
                            <w:kern w:val="0"/>
                            <w:sz w:val="24"/>
                            <w:szCs w:val="24"/>
                          </w:rPr>
                          <w:t>号</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国务院有关部委、有关直属机构，各省、自治区、直辖市、计划单列市财政厅（局），新疆生产建设兵团财务局，财政部驻各省、自治区、直辖市、计划单列市财政监察专员办事处，有关中央管理企业：</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为了适应社会主义市场经济发展需要，进一步完善企业会计准则体系，提高企业合并财务报表质量，根据《企业会计准则</w:t>
                        </w:r>
                        <w:r w:rsidRPr="00326030">
                          <w:rPr>
                            <w:rFonts w:ascii="Arial" w:eastAsia="宋体" w:hAnsi="Arial" w:cs="Arial"/>
                            <w:kern w:val="0"/>
                            <w:sz w:val="24"/>
                            <w:szCs w:val="24"/>
                          </w:rPr>
                          <w:t>——</w:t>
                        </w:r>
                        <w:r w:rsidRPr="00326030">
                          <w:rPr>
                            <w:rFonts w:ascii="Arial" w:eastAsia="宋体" w:hAnsi="Arial" w:cs="Arial"/>
                            <w:kern w:val="0"/>
                            <w:sz w:val="24"/>
                            <w:szCs w:val="24"/>
                          </w:rPr>
                          <w:t>基本准则》，我部对《企业会计准则第</w:t>
                        </w:r>
                        <w:r w:rsidRPr="00326030">
                          <w:rPr>
                            <w:rFonts w:ascii="Arial" w:eastAsia="宋体" w:hAnsi="Arial" w:cs="Arial"/>
                            <w:kern w:val="0"/>
                            <w:sz w:val="24"/>
                            <w:szCs w:val="24"/>
                          </w:rPr>
                          <w:t>33</w:t>
                        </w:r>
                        <w:r w:rsidRPr="00326030">
                          <w:rPr>
                            <w:rFonts w:ascii="Arial" w:eastAsia="宋体" w:hAnsi="Arial" w:cs="Arial"/>
                            <w:kern w:val="0"/>
                            <w:sz w:val="24"/>
                            <w:szCs w:val="24"/>
                          </w:rPr>
                          <w:t>号</w:t>
                        </w:r>
                        <w:r w:rsidRPr="00326030">
                          <w:rPr>
                            <w:rFonts w:ascii="Arial" w:eastAsia="宋体" w:hAnsi="Arial" w:cs="Arial"/>
                            <w:kern w:val="0"/>
                            <w:sz w:val="24"/>
                            <w:szCs w:val="24"/>
                          </w:rPr>
                          <w:t>——</w:t>
                        </w:r>
                        <w:r w:rsidRPr="00326030">
                          <w:rPr>
                            <w:rFonts w:ascii="Arial" w:eastAsia="宋体" w:hAnsi="Arial" w:cs="Arial"/>
                            <w:kern w:val="0"/>
                            <w:sz w:val="24"/>
                            <w:szCs w:val="24"/>
                          </w:rPr>
                          <w:t>合并财务报表》进行了修订，现予印发，自</w:t>
                        </w:r>
                        <w:r w:rsidRPr="00326030">
                          <w:rPr>
                            <w:rFonts w:ascii="Arial" w:eastAsia="宋体" w:hAnsi="Arial" w:cs="Arial"/>
                            <w:kern w:val="0"/>
                            <w:sz w:val="24"/>
                            <w:szCs w:val="24"/>
                          </w:rPr>
                          <w:t>2014</w:t>
                        </w:r>
                        <w:r w:rsidRPr="00326030">
                          <w:rPr>
                            <w:rFonts w:ascii="Arial" w:eastAsia="宋体" w:hAnsi="Arial" w:cs="Arial"/>
                            <w:kern w:val="0"/>
                            <w:sz w:val="24"/>
                            <w:szCs w:val="24"/>
                          </w:rPr>
                          <w:t>年</w:t>
                        </w:r>
                        <w:r w:rsidRPr="00326030">
                          <w:rPr>
                            <w:rFonts w:ascii="Arial" w:eastAsia="宋体" w:hAnsi="Arial" w:cs="Arial"/>
                            <w:kern w:val="0"/>
                            <w:sz w:val="24"/>
                            <w:szCs w:val="24"/>
                          </w:rPr>
                          <w:t>7</w:t>
                        </w:r>
                        <w:r w:rsidRPr="00326030">
                          <w:rPr>
                            <w:rFonts w:ascii="Arial" w:eastAsia="宋体" w:hAnsi="Arial" w:cs="Arial"/>
                            <w:kern w:val="0"/>
                            <w:sz w:val="24"/>
                            <w:szCs w:val="24"/>
                          </w:rPr>
                          <w:t>月</w:t>
                        </w:r>
                        <w:r w:rsidRPr="00326030">
                          <w:rPr>
                            <w:rFonts w:ascii="Arial" w:eastAsia="宋体" w:hAnsi="Arial" w:cs="Arial"/>
                            <w:kern w:val="0"/>
                            <w:sz w:val="24"/>
                            <w:szCs w:val="24"/>
                          </w:rPr>
                          <w:t>1</w:t>
                        </w:r>
                        <w:r w:rsidRPr="00326030">
                          <w:rPr>
                            <w:rFonts w:ascii="Arial" w:eastAsia="宋体" w:hAnsi="Arial" w:cs="Arial"/>
                            <w:kern w:val="0"/>
                            <w:sz w:val="24"/>
                            <w:szCs w:val="24"/>
                          </w:rPr>
                          <w:t>日起在所有执行企业会计准则的企业范围内施行，鼓励在境外上市的企业提前执行。我部于</w:t>
                        </w:r>
                        <w:r w:rsidRPr="00326030">
                          <w:rPr>
                            <w:rFonts w:ascii="Arial" w:eastAsia="宋体" w:hAnsi="Arial" w:cs="Arial"/>
                            <w:kern w:val="0"/>
                            <w:sz w:val="24"/>
                            <w:szCs w:val="24"/>
                          </w:rPr>
                          <w:t>2006</w:t>
                        </w:r>
                        <w:r w:rsidRPr="00326030">
                          <w:rPr>
                            <w:rFonts w:ascii="Arial" w:eastAsia="宋体" w:hAnsi="Arial" w:cs="Arial"/>
                            <w:kern w:val="0"/>
                            <w:sz w:val="24"/>
                            <w:szCs w:val="24"/>
                          </w:rPr>
                          <w:t>年</w:t>
                        </w:r>
                        <w:r w:rsidRPr="00326030">
                          <w:rPr>
                            <w:rFonts w:ascii="Arial" w:eastAsia="宋体" w:hAnsi="Arial" w:cs="Arial"/>
                            <w:kern w:val="0"/>
                            <w:sz w:val="24"/>
                            <w:szCs w:val="24"/>
                          </w:rPr>
                          <w:t>2</w:t>
                        </w:r>
                        <w:r w:rsidRPr="00326030">
                          <w:rPr>
                            <w:rFonts w:ascii="Arial" w:eastAsia="宋体" w:hAnsi="Arial" w:cs="Arial"/>
                            <w:kern w:val="0"/>
                            <w:sz w:val="24"/>
                            <w:szCs w:val="24"/>
                          </w:rPr>
                          <w:t>月</w:t>
                        </w:r>
                        <w:r w:rsidRPr="00326030">
                          <w:rPr>
                            <w:rFonts w:ascii="Arial" w:eastAsia="宋体" w:hAnsi="Arial" w:cs="Arial"/>
                            <w:kern w:val="0"/>
                            <w:sz w:val="24"/>
                            <w:szCs w:val="24"/>
                          </w:rPr>
                          <w:t>15</w:t>
                        </w:r>
                        <w:r w:rsidRPr="00326030">
                          <w:rPr>
                            <w:rFonts w:ascii="Arial" w:eastAsia="宋体" w:hAnsi="Arial" w:cs="Arial"/>
                            <w:kern w:val="0"/>
                            <w:sz w:val="24"/>
                            <w:szCs w:val="24"/>
                          </w:rPr>
                          <w:t>日发布的《财政部关于印发〈企业会计准则第</w:t>
                        </w:r>
                        <w:r w:rsidRPr="00326030">
                          <w:rPr>
                            <w:rFonts w:ascii="Arial" w:eastAsia="宋体" w:hAnsi="Arial" w:cs="Arial"/>
                            <w:kern w:val="0"/>
                            <w:sz w:val="24"/>
                            <w:szCs w:val="24"/>
                          </w:rPr>
                          <w:t>1</w:t>
                        </w:r>
                        <w:r w:rsidRPr="00326030">
                          <w:rPr>
                            <w:rFonts w:ascii="Arial" w:eastAsia="宋体" w:hAnsi="Arial" w:cs="Arial"/>
                            <w:kern w:val="0"/>
                            <w:sz w:val="24"/>
                            <w:szCs w:val="24"/>
                          </w:rPr>
                          <w:t>号</w:t>
                        </w:r>
                        <w:r w:rsidRPr="00326030">
                          <w:rPr>
                            <w:rFonts w:ascii="Arial" w:eastAsia="宋体" w:hAnsi="Arial" w:cs="Arial"/>
                            <w:kern w:val="0"/>
                            <w:sz w:val="24"/>
                            <w:szCs w:val="24"/>
                          </w:rPr>
                          <w:t>——</w:t>
                        </w:r>
                        <w:r w:rsidRPr="00326030">
                          <w:rPr>
                            <w:rFonts w:ascii="Arial" w:eastAsia="宋体" w:hAnsi="Arial" w:cs="Arial"/>
                            <w:kern w:val="0"/>
                            <w:sz w:val="24"/>
                            <w:szCs w:val="24"/>
                          </w:rPr>
                          <w:t>存货〉等</w:t>
                        </w:r>
                        <w:r w:rsidRPr="00326030">
                          <w:rPr>
                            <w:rFonts w:ascii="Arial" w:eastAsia="宋体" w:hAnsi="Arial" w:cs="Arial"/>
                            <w:kern w:val="0"/>
                            <w:sz w:val="24"/>
                            <w:szCs w:val="24"/>
                          </w:rPr>
                          <w:t>38</w:t>
                        </w:r>
                        <w:r w:rsidRPr="00326030">
                          <w:rPr>
                            <w:rFonts w:ascii="Arial" w:eastAsia="宋体" w:hAnsi="Arial" w:cs="Arial"/>
                            <w:kern w:val="0"/>
                            <w:sz w:val="24"/>
                            <w:szCs w:val="24"/>
                          </w:rPr>
                          <w:t>项具体准则的通知》（财会〔</w:t>
                        </w:r>
                        <w:r w:rsidRPr="00326030">
                          <w:rPr>
                            <w:rFonts w:ascii="Arial" w:eastAsia="宋体" w:hAnsi="Arial" w:cs="Arial"/>
                            <w:kern w:val="0"/>
                            <w:sz w:val="24"/>
                            <w:szCs w:val="24"/>
                          </w:rPr>
                          <w:t>2006</w:t>
                        </w:r>
                        <w:r w:rsidRPr="00326030">
                          <w:rPr>
                            <w:rFonts w:ascii="Arial" w:eastAsia="宋体" w:hAnsi="Arial" w:cs="Arial"/>
                            <w:kern w:val="0"/>
                            <w:sz w:val="24"/>
                            <w:szCs w:val="24"/>
                          </w:rPr>
                          <w:t>〕</w:t>
                        </w:r>
                        <w:r w:rsidRPr="00326030">
                          <w:rPr>
                            <w:rFonts w:ascii="Arial" w:eastAsia="宋体" w:hAnsi="Arial" w:cs="Arial"/>
                            <w:kern w:val="0"/>
                            <w:sz w:val="24"/>
                            <w:szCs w:val="24"/>
                          </w:rPr>
                          <w:t>3</w:t>
                        </w:r>
                        <w:r w:rsidRPr="00326030">
                          <w:rPr>
                            <w:rFonts w:ascii="Arial" w:eastAsia="宋体" w:hAnsi="Arial" w:cs="Arial"/>
                            <w:kern w:val="0"/>
                            <w:sz w:val="24"/>
                            <w:szCs w:val="24"/>
                          </w:rPr>
                          <w:t>号）中的《企业会计准则第</w:t>
                        </w:r>
                        <w:r w:rsidRPr="00326030">
                          <w:rPr>
                            <w:rFonts w:ascii="Arial" w:eastAsia="宋体" w:hAnsi="Arial" w:cs="Arial"/>
                            <w:kern w:val="0"/>
                            <w:sz w:val="24"/>
                            <w:szCs w:val="24"/>
                          </w:rPr>
                          <w:t>33</w:t>
                        </w:r>
                        <w:r w:rsidRPr="00326030">
                          <w:rPr>
                            <w:rFonts w:ascii="Arial" w:eastAsia="宋体" w:hAnsi="Arial" w:cs="Arial"/>
                            <w:kern w:val="0"/>
                            <w:sz w:val="24"/>
                            <w:szCs w:val="24"/>
                          </w:rPr>
                          <w:t>号</w:t>
                        </w:r>
                        <w:r w:rsidRPr="00326030">
                          <w:rPr>
                            <w:rFonts w:ascii="Arial" w:eastAsia="宋体" w:hAnsi="Arial" w:cs="Arial"/>
                            <w:kern w:val="0"/>
                            <w:sz w:val="24"/>
                            <w:szCs w:val="24"/>
                          </w:rPr>
                          <w:t>——</w:t>
                        </w:r>
                        <w:r w:rsidRPr="00326030">
                          <w:rPr>
                            <w:rFonts w:ascii="Arial" w:eastAsia="宋体" w:hAnsi="Arial" w:cs="Arial"/>
                            <w:kern w:val="0"/>
                            <w:sz w:val="24"/>
                            <w:szCs w:val="24"/>
                          </w:rPr>
                          <w:t>合并财务报表》同时废止。</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执行中有何问题，请及时反馈我部。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附件：企业会计准则第</w:t>
                        </w:r>
                        <w:r w:rsidRPr="00326030">
                          <w:rPr>
                            <w:rFonts w:ascii="Arial" w:eastAsia="宋体" w:hAnsi="Arial" w:cs="Arial"/>
                            <w:kern w:val="0"/>
                            <w:sz w:val="24"/>
                            <w:szCs w:val="24"/>
                          </w:rPr>
                          <w:t>33</w:t>
                        </w:r>
                        <w:r w:rsidRPr="00326030">
                          <w:rPr>
                            <w:rFonts w:ascii="Arial" w:eastAsia="宋体" w:hAnsi="Arial" w:cs="Arial"/>
                            <w:kern w:val="0"/>
                            <w:sz w:val="24"/>
                            <w:szCs w:val="24"/>
                          </w:rPr>
                          <w:t>号</w:t>
                        </w:r>
                        <w:r w:rsidRPr="00326030">
                          <w:rPr>
                            <w:rFonts w:ascii="Arial" w:eastAsia="宋体" w:hAnsi="Arial" w:cs="Arial"/>
                            <w:kern w:val="0"/>
                            <w:sz w:val="24"/>
                            <w:szCs w:val="24"/>
                          </w:rPr>
                          <w:t>——</w:t>
                        </w:r>
                        <w:r w:rsidRPr="00326030">
                          <w:rPr>
                            <w:rFonts w:ascii="Arial" w:eastAsia="宋体" w:hAnsi="Arial" w:cs="Arial"/>
                            <w:kern w:val="0"/>
                            <w:sz w:val="24"/>
                            <w:szCs w:val="24"/>
                          </w:rPr>
                          <w:t>合并财务报表</w:t>
                        </w:r>
                      </w:p>
                      <w:p w:rsidR="00326030" w:rsidRPr="00326030" w:rsidRDefault="00326030" w:rsidP="00326030">
                        <w:pPr>
                          <w:widowControl/>
                          <w:spacing w:line="432" w:lineRule="auto"/>
                          <w:jc w:val="right"/>
                          <w:rPr>
                            <w:rFonts w:ascii="Arial" w:eastAsia="宋体" w:hAnsi="Arial" w:cs="Arial"/>
                            <w:kern w:val="0"/>
                            <w:sz w:val="24"/>
                            <w:szCs w:val="24"/>
                          </w:rPr>
                        </w:pPr>
                        <w:r w:rsidRPr="00326030">
                          <w:rPr>
                            <w:rFonts w:ascii="Arial" w:eastAsia="宋体" w:hAnsi="Arial" w:cs="Arial"/>
                            <w:kern w:val="0"/>
                            <w:sz w:val="24"/>
                            <w:szCs w:val="24"/>
                          </w:rPr>
                          <w:t xml:space="preserve">　　</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财政部</w:t>
                        </w:r>
                      </w:p>
                      <w:p w:rsidR="00326030" w:rsidRPr="00326030" w:rsidRDefault="00326030" w:rsidP="00326030">
                        <w:pPr>
                          <w:widowControl/>
                          <w:spacing w:line="432" w:lineRule="auto"/>
                          <w:jc w:val="right"/>
                          <w:rPr>
                            <w:rFonts w:ascii="Arial" w:eastAsia="宋体" w:hAnsi="Arial" w:cs="Arial"/>
                            <w:kern w:val="0"/>
                            <w:sz w:val="24"/>
                            <w:szCs w:val="24"/>
                          </w:rPr>
                        </w:pPr>
                        <w:r w:rsidRPr="00326030">
                          <w:rPr>
                            <w:rFonts w:ascii="Arial" w:eastAsia="宋体" w:hAnsi="Arial" w:cs="Arial"/>
                            <w:kern w:val="0"/>
                            <w:sz w:val="24"/>
                            <w:szCs w:val="24"/>
                          </w:rPr>
                          <w:t xml:space="preserve">　　</w:t>
                        </w:r>
                        <w:r w:rsidRPr="00326030">
                          <w:rPr>
                            <w:rFonts w:ascii="Arial" w:eastAsia="宋体" w:hAnsi="Arial" w:cs="Arial"/>
                            <w:kern w:val="0"/>
                            <w:sz w:val="24"/>
                            <w:szCs w:val="24"/>
                          </w:rPr>
                          <w:t>                                                                  2014</w:t>
                        </w:r>
                        <w:r w:rsidRPr="00326030">
                          <w:rPr>
                            <w:rFonts w:ascii="Arial" w:eastAsia="宋体" w:hAnsi="Arial" w:cs="Arial"/>
                            <w:kern w:val="0"/>
                            <w:sz w:val="24"/>
                            <w:szCs w:val="24"/>
                          </w:rPr>
                          <w:t>年</w:t>
                        </w:r>
                        <w:r w:rsidRPr="00326030">
                          <w:rPr>
                            <w:rFonts w:ascii="Arial" w:eastAsia="宋体" w:hAnsi="Arial" w:cs="Arial"/>
                            <w:kern w:val="0"/>
                            <w:sz w:val="24"/>
                            <w:szCs w:val="24"/>
                          </w:rPr>
                          <w:t>2</w:t>
                        </w:r>
                        <w:r w:rsidRPr="00326030">
                          <w:rPr>
                            <w:rFonts w:ascii="Arial" w:eastAsia="宋体" w:hAnsi="Arial" w:cs="Arial"/>
                            <w:kern w:val="0"/>
                            <w:sz w:val="24"/>
                            <w:szCs w:val="24"/>
                          </w:rPr>
                          <w:t>月</w:t>
                        </w:r>
                        <w:r w:rsidRPr="00326030">
                          <w:rPr>
                            <w:rFonts w:ascii="Arial" w:eastAsia="宋体" w:hAnsi="Arial" w:cs="Arial"/>
                            <w:kern w:val="0"/>
                            <w:sz w:val="24"/>
                            <w:szCs w:val="24"/>
                          </w:rPr>
                          <w:t>17</w:t>
                        </w:r>
                        <w:r w:rsidRPr="00326030">
                          <w:rPr>
                            <w:rFonts w:ascii="Arial" w:eastAsia="宋体" w:hAnsi="Arial" w:cs="Arial"/>
                            <w:kern w:val="0"/>
                            <w:sz w:val="24"/>
                            <w:szCs w:val="24"/>
                          </w:rPr>
                          <w:t>日</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附件：</w:t>
                        </w:r>
                      </w:p>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b/>
                            <w:bCs/>
                            <w:kern w:val="0"/>
                            <w:sz w:val="24"/>
                            <w:szCs w:val="24"/>
                          </w:rPr>
                          <w:t>企业会计准则第</w:t>
                        </w:r>
                        <w:r w:rsidRPr="00326030">
                          <w:rPr>
                            <w:rFonts w:ascii="Arial" w:eastAsia="宋体" w:hAnsi="Arial" w:cs="Arial"/>
                            <w:b/>
                            <w:bCs/>
                            <w:kern w:val="0"/>
                            <w:sz w:val="24"/>
                            <w:szCs w:val="24"/>
                          </w:rPr>
                          <w:t>33</w:t>
                        </w:r>
                        <w:r w:rsidRPr="00326030">
                          <w:rPr>
                            <w:rFonts w:ascii="Arial" w:eastAsia="宋体" w:hAnsi="Arial" w:cs="Arial"/>
                            <w:b/>
                            <w:bCs/>
                            <w:kern w:val="0"/>
                            <w:sz w:val="24"/>
                            <w:szCs w:val="24"/>
                          </w:rPr>
                          <w:t>号</w:t>
                        </w:r>
                        <w:r w:rsidRPr="00326030">
                          <w:rPr>
                            <w:rFonts w:ascii="Arial" w:eastAsia="宋体" w:hAnsi="Arial" w:cs="Arial"/>
                            <w:b/>
                            <w:bCs/>
                            <w:kern w:val="0"/>
                            <w:sz w:val="24"/>
                            <w:szCs w:val="24"/>
                          </w:rPr>
                          <w:t>——</w:t>
                        </w:r>
                        <w:r w:rsidRPr="00326030">
                          <w:rPr>
                            <w:rFonts w:ascii="Arial" w:eastAsia="宋体" w:hAnsi="Arial" w:cs="Arial"/>
                            <w:b/>
                            <w:bCs/>
                            <w:kern w:val="0"/>
                            <w:sz w:val="24"/>
                            <w:szCs w:val="24"/>
                          </w:rPr>
                          <w:t>合并财务报表</w:t>
                        </w:r>
                      </w:p>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b/>
                            <w:bCs/>
                            <w:kern w:val="0"/>
                            <w:sz w:val="24"/>
                            <w:szCs w:val="24"/>
                          </w:rPr>
                          <w:t>第一章</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总</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则</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第一条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为了规范合并财务报表的编制和列报，根据《企业会计</w:t>
                        </w:r>
                        <w:r w:rsidRPr="00326030">
                          <w:rPr>
                            <w:rFonts w:ascii="Arial" w:eastAsia="宋体" w:hAnsi="Arial" w:cs="Arial"/>
                            <w:kern w:val="0"/>
                            <w:sz w:val="24"/>
                            <w:szCs w:val="24"/>
                          </w:rPr>
                          <w:lastRenderedPageBreak/>
                          <w:t>准则</w:t>
                        </w:r>
                        <w:r w:rsidRPr="00326030">
                          <w:rPr>
                            <w:rFonts w:ascii="Arial" w:eastAsia="宋体" w:hAnsi="Arial" w:cs="Arial"/>
                            <w:kern w:val="0"/>
                            <w:sz w:val="24"/>
                            <w:szCs w:val="24"/>
                          </w:rPr>
                          <w:t>——</w:t>
                        </w:r>
                        <w:r w:rsidRPr="00326030">
                          <w:rPr>
                            <w:rFonts w:ascii="Arial" w:eastAsia="宋体" w:hAnsi="Arial" w:cs="Arial"/>
                            <w:kern w:val="0"/>
                            <w:sz w:val="24"/>
                            <w:szCs w:val="24"/>
                          </w:rPr>
                          <w:t>基本准则》，制定本准则。</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合并财务报表，是指反映母公司和其全部子公司形成的企业集团整体财务状况、经营成果和现金流量的财务报表。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母公司，是指控制一个或一个以上主体（含企业、被投资单位中可分割的部分，以及企业所控制的结构化主体等</w:t>
                        </w:r>
                        <w:r w:rsidRPr="00326030">
                          <w:rPr>
                            <w:rFonts w:ascii="Arial" w:eastAsia="宋体" w:hAnsi="Arial" w:cs="Arial"/>
                            <w:kern w:val="0"/>
                            <w:sz w:val="24"/>
                            <w:szCs w:val="24"/>
                          </w:rPr>
                          <w:t>,</w:t>
                        </w:r>
                        <w:r w:rsidRPr="00326030">
                          <w:rPr>
                            <w:rFonts w:ascii="Arial" w:eastAsia="宋体" w:hAnsi="Arial" w:cs="Arial"/>
                            <w:kern w:val="0"/>
                            <w:sz w:val="24"/>
                            <w:szCs w:val="24"/>
                          </w:rPr>
                          <w:t>下同）的主体。</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子公司，是指被母公司控制的主体。</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合并财务报表至少应当包括下列组成部分：</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（一）合并资产负债表；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（二）合并利润表；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（三）合并现金流量表；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（四）合并所有者权益（或股东权益，下同）变动表；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（五）附注。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企业集团中期期末编制合并财务报表的，至少应当包括合并资产负债表、合并利润表、合并现金流量表和附注。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母公司应当编制合并财务报表。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如果母公司是投资性主体，且不存在为其投资活动提供相关服务的子公司，则不应当编制合并财务报表，</w:t>
                        </w:r>
                        <w:proofErr w:type="gramStart"/>
                        <w:r w:rsidRPr="00326030">
                          <w:rPr>
                            <w:rFonts w:ascii="Arial" w:eastAsia="宋体" w:hAnsi="Arial" w:cs="Arial"/>
                            <w:kern w:val="0"/>
                            <w:sz w:val="24"/>
                            <w:szCs w:val="24"/>
                          </w:rPr>
                          <w:t>该母公司</w:t>
                        </w:r>
                        <w:proofErr w:type="gramEnd"/>
                        <w:r w:rsidRPr="00326030">
                          <w:rPr>
                            <w:rFonts w:ascii="Arial" w:eastAsia="宋体" w:hAnsi="Arial" w:cs="Arial"/>
                            <w:kern w:val="0"/>
                            <w:sz w:val="24"/>
                            <w:szCs w:val="24"/>
                          </w:rPr>
                          <w:t>按照本准则第二十一条规定以公允价值计量其对所有子公司的投资，且公允价值变动计入当期损益。</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第五条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外币财务报表折算，适用《企业会计准则第</w:t>
                        </w:r>
                        <w:r w:rsidRPr="00326030">
                          <w:rPr>
                            <w:rFonts w:ascii="Arial" w:eastAsia="宋体" w:hAnsi="Arial" w:cs="Arial"/>
                            <w:kern w:val="0"/>
                            <w:sz w:val="24"/>
                            <w:szCs w:val="24"/>
                          </w:rPr>
                          <w:t>19</w:t>
                        </w:r>
                        <w:r w:rsidRPr="00326030">
                          <w:rPr>
                            <w:rFonts w:ascii="Arial" w:eastAsia="宋体" w:hAnsi="Arial" w:cs="Arial"/>
                            <w:kern w:val="0"/>
                            <w:sz w:val="24"/>
                            <w:szCs w:val="24"/>
                          </w:rPr>
                          <w:t>号</w:t>
                        </w:r>
                        <w:r w:rsidRPr="00326030">
                          <w:rPr>
                            <w:rFonts w:ascii="Arial" w:eastAsia="宋体" w:hAnsi="Arial" w:cs="Arial"/>
                            <w:kern w:val="0"/>
                            <w:sz w:val="24"/>
                            <w:szCs w:val="24"/>
                          </w:rPr>
                          <w:t>——</w:t>
                        </w:r>
                        <w:r w:rsidRPr="00326030">
                          <w:rPr>
                            <w:rFonts w:ascii="Arial" w:eastAsia="宋体" w:hAnsi="Arial" w:cs="Arial"/>
                            <w:kern w:val="0"/>
                            <w:sz w:val="24"/>
                            <w:szCs w:val="24"/>
                          </w:rPr>
                          <w:t>外币折算》和《企业会计准则第</w:t>
                        </w:r>
                        <w:r w:rsidRPr="00326030">
                          <w:rPr>
                            <w:rFonts w:ascii="Arial" w:eastAsia="宋体" w:hAnsi="Arial" w:cs="Arial"/>
                            <w:kern w:val="0"/>
                            <w:sz w:val="24"/>
                            <w:szCs w:val="24"/>
                          </w:rPr>
                          <w:t>31</w:t>
                        </w:r>
                        <w:r w:rsidRPr="00326030">
                          <w:rPr>
                            <w:rFonts w:ascii="Arial" w:eastAsia="宋体" w:hAnsi="Arial" w:cs="Arial"/>
                            <w:kern w:val="0"/>
                            <w:sz w:val="24"/>
                            <w:szCs w:val="24"/>
                          </w:rPr>
                          <w:t>号</w:t>
                        </w:r>
                        <w:r w:rsidRPr="00326030">
                          <w:rPr>
                            <w:rFonts w:ascii="Arial" w:eastAsia="宋体" w:hAnsi="Arial" w:cs="Arial"/>
                            <w:kern w:val="0"/>
                            <w:sz w:val="24"/>
                            <w:szCs w:val="24"/>
                          </w:rPr>
                          <w:t>——</w:t>
                        </w:r>
                        <w:r w:rsidRPr="00326030">
                          <w:rPr>
                            <w:rFonts w:ascii="Arial" w:eastAsia="宋体" w:hAnsi="Arial" w:cs="Arial"/>
                            <w:kern w:val="0"/>
                            <w:sz w:val="24"/>
                            <w:szCs w:val="24"/>
                          </w:rPr>
                          <w:t>现金流量表》。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第六条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关于在子公司权益的披露，适用《企业会计准则第</w:t>
                        </w:r>
                        <w:r w:rsidRPr="00326030">
                          <w:rPr>
                            <w:rFonts w:ascii="Arial" w:eastAsia="宋体" w:hAnsi="Arial" w:cs="Arial"/>
                            <w:kern w:val="0"/>
                            <w:sz w:val="24"/>
                            <w:szCs w:val="24"/>
                          </w:rPr>
                          <w:t>41</w:t>
                        </w:r>
                        <w:r w:rsidRPr="00326030">
                          <w:rPr>
                            <w:rFonts w:ascii="Arial" w:eastAsia="宋体" w:hAnsi="Arial" w:cs="Arial"/>
                            <w:kern w:val="0"/>
                            <w:sz w:val="24"/>
                            <w:szCs w:val="24"/>
                          </w:rPr>
                          <w:t>号</w:t>
                        </w:r>
                        <w:r w:rsidRPr="00326030">
                          <w:rPr>
                            <w:rFonts w:ascii="Arial" w:eastAsia="宋体" w:hAnsi="Arial" w:cs="Arial"/>
                            <w:kern w:val="0"/>
                            <w:sz w:val="24"/>
                            <w:szCs w:val="24"/>
                          </w:rPr>
                          <w:t>——</w:t>
                        </w:r>
                        <w:r w:rsidRPr="00326030">
                          <w:rPr>
                            <w:rFonts w:ascii="Arial" w:eastAsia="宋体" w:hAnsi="Arial" w:cs="Arial"/>
                            <w:kern w:val="0"/>
                            <w:sz w:val="24"/>
                            <w:szCs w:val="24"/>
                          </w:rPr>
                          <w:t>在其他主体中权益的披露》。</w:t>
                        </w:r>
                      </w:p>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b/>
                            <w:bCs/>
                            <w:kern w:val="0"/>
                            <w:sz w:val="24"/>
                            <w:szCs w:val="24"/>
                          </w:rPr>
                          <w:t>第二章</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合并范围</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lastRenderedPageBreak/>
                          <w:t xml:space="preserve">　　第七条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合并财务报表的合并范围应当以控制为基础予以确定。</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控制，是指投资方拥有对被投资方的权力</w:t>
                        </w:r>
                        <w:r w:rsidRPr="00326030">
                          <w:rPr>
                            <w:rFonts w:ascii="Arial" w:eastAsia="宋体" w:hAnsi="Arial" w:cs="Arial"/>
                            <w:kern w:val="0"/>
                            <w:sz w:val="24"/>
                            <w:szCs w:val="24"/>
                          </w:rPr>
                          <w:t>,</w:t>
                        </w:r>
                        <w:r w:rsidRPr="00326030">
                          <w:rPr>
                            <w:rFonts w:ascii="Arial" w:eastAsia="宋体" w:hAnsi="Arial" w:cs="Arial"/>
                            <w:kern w:val="0"/>
                            <w:sz w:val="24"/>
                            <w:szCs w:val="24"/>
                          </w:rPr>
                          <w:t>通过参与被投资方的相关活动而享有可变回报，并且有能力运用对被投资方的权力影响其回报金额。</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本准则所称相关活动，是指对被投资方的回报产生重大影响的活动。被投资方的相关活动应当根据具体情况进行判断，通常包括商品或劳务的销售和购买、金融资产的管理、资产的购买和处置、研究与开发活动以及融资活动等。</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第八条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投资方应当在综合考虑所有相关事实和情况的基础上对是否控制被投资方进行判断。一旦相关事实和情况的变化导致对控制定义所涉及的相关要素发生变化的，投资方应</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当进行重新评估。相关事实和情况主要包括：</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（一）被投资方的设立目的。</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（二）被投资方的相关活动以及如何对相关活动</w:t>
                        </w:r>
                        <w:proofErr w:type="gramStart"/>
                        <w:r w:rsidRPr="00326030">
                          <w:rPr>
                            <w:rFonts w:ascii="Arial" w:eastAsia="宋体" w:hAnsi="Arial" w:cs="Arial"/>
                            <w:kern w:val="0"/>
                            <w:sz w:val="24"/>
                            <w:szCs w:val="24"/>
                          </w:rPr>
                          <w:t>作出</w:t>
                        </w:r>
                        <w:proofErr w:type="gramEnd"/>
                        <w:r w:rsidRPr="00326030">
                          <w:rPr>
                            <w:rFonts w:ascii="Arial" w:eastAsia="宋体" w:hAnsi="Arial" w:cs="Arial"/>
                            <w:kern w:val="0"/>
                            <w:sz w:val="24"/>
                            <w:szCs w:val="24"/>
                          </w:rPr>
                          <w:t>决策。</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（三）投资方享有的权利是否使其目前有能力主导被投资方的相关活动。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（四）投资方是否通过参与被投资方的相关活动而享有可变回报。</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（五）投资方是否有能力运用对被投资方的权力影响其回报金额。</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（六）投资方与其他方的关系。</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第九条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投资方享有现时权利使其目前有能力主导被投资方的相关活动，而不论其是否实际行使该权利，视为投资方拥有对被投资方的权力。</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lastRenderedPageBreak/>
                          <w:t xml:space="preserve">　　第十条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两个或两个以上投资方分别享有能够单方面主导被投资方不同相关活动的现时权利的，能够主导对被投资方回报产生最重大影响的活动的一方拥有对被投资方的权力。</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第十一条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投资方在判断是否拥有对被投资方的权力时，应当仅考虑与被投资方相关的实质性权利，包括自身所享有的实质性权利以及其他方所享有的实质性权利。</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实质性权利，是指持有人在对相关活动进行决策时有实际能力行使的可执行权利。判断一项权利是否为实质性权利，应当综合考虑所有相关因素，包括权利持有人行使该项权利是否存在财务、价格、条款、机制、信息、运营、法律法规等方面的障碍；当权利由多方持有或者行权需要多方同意时，是否存在实际可行的机制使得这些权利持有人在其愿意的情况下能够一致行权；权利持有人能否从行权中获利等。</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某些情况下，其他方享有的实质性权利有可能会阻止投资方对被投资方的控制。这种实质性权利既包括提出议案以供决策的主动性权利，也包括对已提出议案</w:t>
                        </w:r>
                        <w:proofErr w:type="gramStart"/>
                        <w:r w:rsidRPr="00326030">
                          <w:rPr>
                            <w:rFonts w:ascii="Arial" w:eastAsia="宋体" w:hAnsi="Arial" w:cs="Arial"/>
                            <w:kern w:val="0"/>
                            <w:sz w:val="24"/>
                            <w:szCs w:val="24"/>
                          </w:rPr>
                          <w:t>作出</w:t>
                        </w:r>
                        <w:proofErr w:type="gramEnd"/>
                        <w:r w:rsidRPr="00326030">
                          <w:rPr>
                            <w:rFonts w:ascii="Arial" w:eastAsia="宋体" w:hAnsi="Arial" w:cs="Arial"/>
                            <w:kern w:val="0"/>
                            <w:sz w:val="24"/>
                            <w:szCs w:val="24"/>
                          </w:rPr>
                          <w:t>决策的被动性权利。</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第十二条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仅享有保护性权利的投资方不拥有对被投资方的权力。</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保护性权利，是指仅为了保护权利持有人利益却没有赋予持有人对相关活动决策权的一项权利。保护性权利通常只能在被投资方发生根本性改变或某些例外情况发生时才能够行使，它既没有赋予其持有人对被投资方拥有权力，也不能阻止其他方对被投资方拥有权力。</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第十三条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除非有确凿证据表明其不能主导被投资方相关活动，</w:t>
                        </w:r>
                        <w:r w:rsidRPr="00326030">
                          <w:rPr>
                            <w:rFonts w:ascii="Arial" w:eastAsia="宋体" w:hAnsi="Arial" w:cs="Arial"/>
                            <w:kern w:val="0"/>
                            <w:sz w:val="24"/>
                            <w:szCs w:val="24"/>
                          </w:rPr>
                          <w:lastRenderedPageBreak/>
                          <w:t>下列情况，表明投资方对被投资方拥有权力</w:t>
                        </w:r>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（一）投资方持有被投资方半数以上的表决权的。</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（二）投资方持有被投资方半数或以下的表决权，但通过与其他表决权持有人之间的协议能够控制半数以上表决权的。</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第十四条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投资方持有被投资方半数或以下的表决权，但综合考虑下列事实和情况后，判断投资方持有的表决权足以使其目前有能力主导被投资方相关活动的，视为投资方对被投资</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方拥有权力：</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（一）投资方持有的表决权相对于其他投资方持有的表决权份额的大小，以及其他投资方持有表决权的分散程度。</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（二）投资方和其他投资方持有的被投资方的潜在表决权，如可转换公司债</w:t>
                        </w:r>
                        <w:proofErr w:type="gramStart"/>
                        <w:r w:rsidRPr="00326030">
                          <w:rPr>
                            <w:rFonts w:ascii="Arial" w:eastAsia="宋体" w:hAnsi="Arial" w:cs="Arial"/>
                            <w:kern w:val="0"/>
                            <w:sz w:val="24"/>
                            <w:szCs w:val="24"/>
                          </w:rPr>
                          <w:t>券</w:t>
                        </w:r>
                        <w:proofErr w:type="gramEnd"/>
                        <w:r w:rsidRPr="00326030">
                          <w:rPr>
                            <w:rFonts w:ascii="Arial" w:eastAsia="宋体" w:hAnsi="Arial" w:cs="Arial"/>
                            <w:kern w:val="0"/>
                            <w:sz w:val="24"/>
                            <w:szCs w:val="24"/>
                          </w:rPr>
                          <w:t>、可执行认股权证等。</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（三）其他合同安排产生的权利。</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（四）被投资方以往的表决权行使情况等其他相关事实和情况。</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第十五条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当表决权不能对被投资方的回报产生重大影响时，如仅与被投资方的日常行政管理活动有关，并且被投资方的相关活动由合同安排所决定，投资方需要评估这些合同安排，以评价其享有的权利是否足够使其拥有对被投资方的权力。</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第十六条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某些情况下，投资方可能难以判断其享有的权利是否足以使其拥有对被投资方的权力。在这种情况下，投资方应当考虑其具有实际能力以单方面主导被投资方相关活动的证据，从而判断其是否拥有对被投资方的权力。投资方应考虑的因素包括但不限于下列事项：</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（一）投资方能否任命或批准被投资方的关键管理人员。</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lastRenderedPageBreak/>
                          <w:t xml:space="preserve">　　（二）投资方能否出于其自身利益决定或否决被投资方的重大交易。</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（三）投资方能否</w:t>
                        </w:r>
                        <w:proofErr w:type="gramStart"/>
                        <w:r w:rsidRPr="00326030">
                          <w:rPr>
                            <w:rFonts w:ascii="Arial" w:eastAsia="宋体" w:hAnsi="Arial" w:cs="Arial"/>
                            <w:kern w:val="0"/>
                            <w:sz w:val="24"/>
                            <w:szCs w:val="24"/>
                          </w:rPr>
                          <w:t>掌控被投资方</w:t>
                        </w:r>
                        <w:proofErr w:type="gramEnd"/>
                        <w:r w:rsidRPr="00326030">
                          <w:rPr>
                            <w:rFonts w:ascii="Arial" w:eastAsia="宋体" w:hAnsi="Arial" w:cs="Arial"/>
                            <w:kern w:val="0"/>
                            <w:sz w:val="24"/>
                            <w:szCs w:val="24"/>
                          </w:rPr>
                          <w:t>董事会等类似权力机构成员的任命程序，或者从其他表决权持有人手中获得代理权。</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（四）投资方与被投资方的关键管理人员或董事会等类似权力机构中的多数成员是否存在关联方关系。</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投资方与被投资方之间存在某种特殊关系的，在评价投资方是否拥有对被投资方的权力时，应当适当考虑这种特殊关系的影响。特殊关系通常包括：被投资方的关键管理人员是投资方的现任或前任职工、被投资方的经营依赖于投资方、被投资方活动的重大部分有投资方参与其中或者是以投资方的名义进行、投资方自被投资方承担可变回报的风险或享有可变回报的收益远超过其持有的表决权或其他类似权利的比例等。</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第十七条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投资方自被投资方取得的回报可能会随着被投资方业绩而变动的，视为享有可变回报。投资方应当基于合同安排的实质而非回报的法律形式对回报的可变性进行评价。</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第十八条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投资方在判断是否控制被投资方时，应当确定其自身是以主要责任人还是代理人的身份行使决策权，在其他方拥有决策权的情况下，还需要确定其他方是否以其代理人的身份代为行使决策权。</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代理人仅代表主要责任人行使决策权，不控制被投资方。投资方将被投资方相关活动的决策权委托给代理人的，应当将该决策权视为自身直接持有。</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第十九条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在确定决策者是否为代理人时，应当综合考虑该决策</w:t>
                        </w:r>
                        <w:r w:rsidRPr="00326030">
                          <w:rPr>
                            <w:rFonts w:ascii="Arial" w:eastAsia="宋体" w:hAnsi="Arial" w:cs="Arial"/>
                            <w:kern w:val="0"/>
                            <w:sz w:val="24"/>
                            <w:szCs w:val="24"/>
                          </w:rPr>
                          <w:lastRenderedPageBreak/>
                          <w:t>者与被投资方以及其他投资方之间的关系。</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（一）存在单独一方拥有实质性权利可以无条件罢免决策者的，该决策者为代理人。</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（二）除（一）以外的情况下，应当综合考虑决策者对被投资方的决策权范围、其他方享有的实质性权利、决策者的薪酬水平、决策者因持有被投资方中的其他权益所承担可变回报的风险等相关因素进行判断。</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投资方通常应当对是否控制被投资方整体进行判断。但极个别情况下，有确凿证据表明同时满足下列条件并且符合相关法律法规规定的，投资方应当将被投资方的一部分（以下简称</w:t>
                        </w:r>
                        <w:r w:rsidRPr="00326030">
                          <w:rPr>
                            <w:rFonts w:ascii="Arial" w:eastAsia="宋体" w:hAnsi="Arial" w:cs="Arial"/>
                            <w:kern w:val="0"/>
                            <w:sz w:val="24"/>
                            <w:szCs w:val="24"/>
                          </w:rPr>
                          <w:t>“</w:t>
                        </w:r>
                        <w:r w:rsidRPr="00326030">
                          <w:rPr>
                            <w:rFonts w:ascii="Arial" w:eastAsia="宋体" w:hAnsi="Arial" w:cs="Arial"/>
                            <w:kern w:val="0"/>
                            <w:sz w:val="24"/>
                            <w:szCs w:val="24"/>
                          </w:rPr>
                          <w:t>该部分</w:t>
                        </w:r>
                        <w:r w:rsidRPr="00326030">
                          <w:rPr>
                            <w:rFonts w:ascii="Arial" w:eastAsia="宋体" w:hAnsi="Arial" w:cs="Arial"/>
                            <w:kern w:val="0"/>
                            <w:sz w:val="24"/>
                            <w:szCs w:val="24"/>
                          </w:rPr>
                          <w:t>”</w:t>
                        </w:r>
                        <w:r w:rsidRPr="00326030">
                          <w:rPr>
                            <w:rFonts w:ascii="Arial" w:eastAsia="宋体" w:hAnsi="Arial" w:cs="Arial"/>
                            <w:kern w:val="0"/>
                            <w:sz w:val="24"/>
                            <w:szCs w:val="24"/>
                          </w:rPr>
                          <w:t>）视为被投资方可分割的部分（单独主体），进而判断是否控制该部分（单独主体）。</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（一）该部分的资产是偿付该部分负债或该部分其他权益的唯一来源，不能用于偿还该部分以外的被投资方的其他负债；</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（二）除与该部分相关的各方外，其他方不享有与该部分资产相关的权利，也不享有与该部分资产剩余现金流量相关的权利。</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第二十一条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母公司应当将其全部子公司（包括母公司所控制的单独主体）纳入合并财务报表的合并范围。</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如果母公司是投资性主体，则母公司应当仅将为其投资活动提供相关服务的子公司（如有）纳入合并范围并编制合并财务报表；其他子公司不应当予以合并，母公司对其他子公司的投资应当按照公允价值计量且其变动计入当期损益。</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第二十二条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当母公司同时满足下列条件时，</w:t>
                        </w:r>
                        <w:proofErr w:type="gramStart"/>
                        <w:r w:rsidRPr="00326030">
                          <w:rPr>
                            <w:rFonts w:ascii="Arial" w:eastAsia="宋体" w:hAnsi="Arial" w:cs="Arial"/>
                            <w:kern w:val="0"/>
                            <w:sz w:val="24"/>
                            <w:szCs w:val="24"/>
                          </w:rPr>
                          <w:t>该母公司</w:t>
                        </w:r>
                        <w:proofErr w:type="gramEnd"/>
                        <w:r w:rsidRPr="00326030">
                          <w:rPr>
                            <w:rFonts w:ascii="Arial" w:eastAsia="宋体" w:hAnsi="Arial" w:cs="Arial"/>
                            <w:kern w:val="0"/>
                            <w:sz w:val="24"/>
                            <w:szCs w:val="24"/>
                          </w:rPr>
                          <w:t>属于投资性主体：</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lastRenderedPageBreak/>
                          <w:t xml:space="preserve">　　（一）该公司是以向投资者提供投资管理服务为目的，从一个或多个投资者处获取资金；</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（二）该公司的唯一经营目的，是通过资本增值、投资收益或两者兼有而让投资者获得回报；</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（三）该公司按照公允价值对几乎所有投资的业绩进行</w:t>
                        </w:r>
                        <w:proofErr w:type="gramStart"/>
                        <w:r w:rsidRPr="00326030">
                          <w:rPr>
                            <w:rFonts w:ascii="Arial" w:eastAsia="宋体" w:hAnsi="Arial" w:cs="Arial"/>
                            <w:kern w:val="0"/>
                            <w:sz w:val="24"/>
                            <w:szCs w:val="24"/>
                          </w:rPr>
                          <w:t>考量</w:t>
                        </w:r>
                        <w:proofErr w:type="gramEnd"/>
                        <w:r w:rsidRPr="00326030">
                          <w:rPr>
                            <w:rFonts w:ascii="Arial" w:eastAsia="宋体" w:hAnsi="Arial" w:cs="Arial"/>
                            <w:kern w:val="0"/>
                            <w:sz w:val="24"/>
                            <w:szCs w:val="24"/>
                          </w:rPr>
                          <w:t>和评价。</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第二十三条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母公司属于投资性主体的，通常情况下应当符合下列所有特征：</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（一）拥有一个以上投资；</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（二）拥有一个以上投资者；</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（三）投资者不是该主体的关联方；</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（四）其所有者权益以股权或类似权益方式存在。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第二十四条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投资性主体的母公司本身不是投资性主体，则应当将其控制的全部主体，包括那些通过投资性主体所间接控制的主体，纳入合并财务报表范围。</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第二十五条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当母公司由非投资性主体转变为投资性主体时，除仅将为其投资活动提供相关服务的子公司纳入合并财务报表范围编制合并财务报表外，企业自转变日起对其他子公司不再予以合并，并参照本准则第四十九条的规定，按照视同在转变日处置子公司但保留剩余股权的原则进行会计处理。</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当母公司由投资性主体转变为非投资性主体时，应将原未纳入合并财务报表范围的子公司于转变日纳入合并财务报表范围，原未纳入合并财务报表范围的子公司在转变日的公允价值视同为购买的交易对价。</w:t>
                        </w:r>
                      </w:p>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b/>
                            <w:bCs/>
                            <w:kern w:val="0"/>
                            <w:sz w:val="24"/>
                            <w:szCs w:val="24"/>
                          </w:rPr>
                          <w:lastRenderedPageBreak/>
                          <w:t>第三章</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合并程序</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第二十六条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母公司应当以自身和其子公司的财务报表为基础，根据其他有关资料，编制合并财务报表。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母公司编制合并财务报表，应当将整个企业集团视为一个会计主体，依据相关企业会计准则的确认、计量和列报要求，按照统一的会计政策，反映企业集团整体财务状况、经营成果和现金流量。</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（一）合并母公司与子公司的资产、负债、所有者权益、收入、费用和现金流等项目。</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母公司对子公司的长期股权投资与母公司在子公司所有者权益中所享有的份额。</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母公司与子公司、子公司相互之间发生的内部交易的影响。内部交易表明相关资产发生减值损失的，应当全额确认该部分损失。</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（四）站在企业集团角度对特殊交易事项予以调整。</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第二十七条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母公司应当统一子公司所采用的会计政策，使子公司采用的会计政策与母公司保持一致。</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子公司所采用的会计政策与母公司不一致的，应当按照母公司的会计政策对子公司财务报表进行必要的调整；或者要求子公司按照母公司的会计政策另行编报财务报表。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第二十八条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母公司应当统一子公司的会计期间，使子公司的会计期间与母公司保持一致。</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子公司的会计期间与母公司不一致的，应当按照母公司的会计期间对子公司财务报表进行调整；或者要求子公司按照母公司的会计期间另行编报财务报表。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lastRenderedPageBreak/>
                          <w:t xml:space="preserve">　　第二十九条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在编制合并财务报表时，子公司除了应当向母公司提供财务报表外，还应当向母公司提供下列有关资料：</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（一）采用的与母公司不一致的会计政策及其影响金额；</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（二）与母公司不一致的会计期间的说明；</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（三）与母公司、其他子公司之间发生的所有内部交易的相关资料；</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（四）所有者权益变动的有关资料；</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（五）编制合并财务报表所需要的其他资料。</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第一节</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合并资产负债表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合并资产负债表应当以母公司和子公司的资产负债表为基础，在</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母公司与子公司、子公司相互之间发生的内部交易对合并资产负债表的影响后，由母公司合并编制。</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（一）母公司对子公司的长期股权投资与母公司在子公司所有者权益中所享有的份额应当相互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，同时</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相应的长期股权投资减值准备。</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子公司持有母公司的长期股权投资，应当视为企业集团的库存股，作为所有者权益的减项，在合并资产负债表中所有者权益项目下以</w:t>
                        </w:r>
                        <w:r w:rsidRPr="00326030">
                          <w:rPr>
                            <w:rFonts w:ascii="Arial" w:eastAsia="宋体" w:hAnsi="Arial" w:cs="Arial"/>
                            <w:kern w:val="0"/>
                            <w:sz w:val="24"/>
                            <w:szCs w:val="24"/>
                          </w:rPr>
                          <w:t>“</w:t>
                        </w:r>
                        <w:r w:rsidRPr="00326030">
                          <w:rPr>
                            <w:rFonts w:ascii="Arial" w:eastAsia="宋体" w:hAnsi="Arial" w:cs="Arial"/>
                            <w:kern w:val="0"/>
                            <w:sz w:val="24"/>
                            <w:szCs w:val="24"/>
                          </w:rPr>
                          <w:t>减：库存股</w:t>
                        </w:r>
                        <w:r w:rsidRPr="00326030">
                          <w:rPr>
                            <w:rFonts w:ascii="Arial" w:eastAsia="宋体" w:hAnsi="Arial" w:cs="Arial"/>
                            <w:kern w:val="0"/>
                            <w:sz w:val="24"/>
                            <w:szCs w:val="24"/>
                          </w:rPr>
                          <w:t>”</w:t>
                        </w:r>
                        <w:r w:rsidRPr="00326030">
                          <w:rPr>
                            <w:rFonts w:ascii="Arial" w:eastAsia="宋体" w:hAnsi="Arial" w:cs="Arial"/>
                            <w:kern w:val="0"/>
                            <w:sz w:val="24"/>
                            <w:szCs w:val="24"/>
                          </w:rPr>
                          <w:t>项目列示。</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子公司相互之间持有的长期股权投资，应当比照母公司对子公司的股权投资的</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方法，将长期股权投资与其对应的子公司所有者权益中所享有的份额相互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（二）母公司与子公司、子公司相互之间的债权与债务项目应当相互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，同时</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相应的减值准备。</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（三）母公司与子公司、子公司相互之间销售商品（或提供劳</w:t>
                        </w:r>
                        <w:r w:rsidRPr="00326030">
                          <w:rPr>
                            <w:rFonts w:ascii="Arial" w:eastAsia="宋体" w:hAnsi="Arial" w:cs="Arial"/>
                            <w:kern w:val="0"/>
                            <w:sz w:val="24"/>
                            <w:szCs w:val="24"/>
                          </w:rPr>
                          <w:lastRenderedPageBreak/>
                          <w:t>务，下同）或其他方式形成的存货、固定资产、工程物资、在建工程、无形资产等所包含的未实现内部销售损益应当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对存货、固定资产、工程物资、在建工程和无形资产等计提的跌价准备或减值准备与未实现内部销售损益相关的部分应当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（四）母公司与子公司、子公司相互之间发生的其他内部交易对合并资产负债表的影响应当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（五）因</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未实现内部销售损益导致合并资产负债表中资产、负债的账面价值与其在所属纳税主体的计税基础之间产生暂时性差异的，在合并资产负债表中应当确认递延所得税资产或递延所得税负债，同时调整合并利润表中的所得税费用，但与直接计入所有者权益的交易或事项及企业合并相关的递延所得税除外。</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第三十一条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子公司所有者权益中不属于母公司的份额，应当作为少数股东权益，在合并资产负债表中所有者权益项目下以</w:t>
                        </w:r>
                        <w:r w:rsidRPr="00326030">
                          <w:rPr>
                            <w:rFonts w:ascii="Arial" w:eastAsia="宋体" w:hAnsi="Arial" w:cs="Arial"/>
                            <w:kern w:val="0"/>
                            <w:sz w:val="24"/>
                            <w:szCs w:val="24"/>
                          </w:rPr>
                          <w:t>“</w:t>
                        </w:r>
                        <w:r w:rsidRPr="00326030">
                          <w:rPr>
                            <w:rFonts w:ascii="Arial" w:eastAsia="宋体" w:hAnsi="Arial" w:cs="Arial"/>
                            <w:kern w:val="0"/>
                            <w:sz w:val="24"/>
                            <w:szCs w:val="24"/>
                          </w:rPr>
                          <w:t>少数股东权益</w:t>
                        </w:r>
                        <w:r w:rsidRPr="00326030">
                          <w:rPr>
                            <w:rFonts w:ascii="Arial" w:eastAsia="宋体" w:hAnsi="Arial" w:cs="Arial"/>
                            <w:kern w:val="0"/>
                            <w:sz w:val="24"/>
                            <w:szCs w:val="24"/>
                          </w:rPr>
                          <w:t>”</w:t>
                        </w:r>
                        <w:r w:rsidRPr="00326030">
                          <w:rPr>
                            <w:rFonts w:ascii="Arial" w:eastAsia="宋体" w:hAnsi="Arial" w:cs="Arial"/>
                            <w:kern w:val="0"/>
                            <w:sz w:val="24"/>
                            <w:szCs w:val="24"/>
                          </w:rPr>
                          <w:t>项目列示。</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第三十二条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母公司在报告期内因同</w:t>
                        </w:r>
                        <w:proofErr w:type="gramStart"/>
                        <w:r w:rsidRPr="00326030">
                          <w:rPr>
                            <w:rFonts w:ascii="Arial" w:eastAsia="宋体" w:hAnsi="Arial" w:cs="Arial"/>
                            <w:kern w:val="0"/>
                            <w:sz w:val="24"/>
                            <w:szCs w:val="24"/>
                          </w:rPr>
                          <w:t>一控制</w:t>
                        </w:r>
                        <w:proofErr w:type="gramEnd"/>
                        <w:r w:rsidRPr="00326030">
                          <w:rPr>
                            <w:rFonts w:ascii="Arial" w:eastAsia="宋体" w:hAnsi="Arial" w:cs="Arial"/>
                            <w:kern w:val="0"/>
                            <w:sz w:val="24"/>
                            <w:szCs w:val="24"/>
                          </w:rPr>
                          <w:t>下企业合并增加的子公司以及业务，编制合并资产负债表时，应当调整合并资产负债表的期初数，同时应当对比较报表的相关项目进行调整，视同合并后的报告主体</w:t>
                        </w:r>
                        <w:proofErr w:type="gramStart"/>
                        <w:r w:rsidRPr="00326030">
                          <w:rPr>
                            <w:rFonts w:ascii="Arial" w:eastAsia="宋体" w:hAnsi="Arial" w:cs="Arial"/>
                            <w:kern w:val="0"/>
                            <w:sz w:val="24"/>
                            <w:szCs w:val="24"/>
                          </w:rPr>
                          <w:t>自最终</w:t>
                        </w:r>
                        <w:proofErr w:type="gramEnd"/>
                        <w:r w:rsidRPr="00326030">
                          <w:rPr>
                            <w:rFonts w:ascii="Arial" w:eastAsia="宋体" w:hAnsi="Arial" w:cs="Arial"/>
                            <w:kern w:val="0"/>
                            <w:sz w:val="24"/>
                            <w:szCs w:val="24"/>
                          </w:rPr>
                          <w:t>控制方开始控制时点起一直存在。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因非同</w:t>
                        </w:r>
                        <w:proofErr w:type="gramStart"/>
                        <w:r w:rsidRPr="00326030">
                          <w:rPr>
                            <w:rFonts w:ascii="Arial" w:eastAsia="宋体" w:hAnsi="Arial" w:cs="Arial"/>
                            <w:kern w:val="0"/>
                            <w:sz w:val="24"/>
                            <w:szCs w:val="24"/>
                          </w:rPr>
                          <w:t>一控制</w:t>
                        </w:r>
                        <w:proofErr w:type="gramEnd"/>
                        <w:r w:rsidRPr="00326030">
                          <w:rPr>
                            <w:rFonts w:ascii="Arial" w:eastAsia="宋体" w:hAnsi="Arial" w:cs="Arial"/>
                            <w:kern w:val="0"/>
                            <w:sz w:val="24"/>
                            <w:szCs w:val="24"/>
                          </w:rPr>
                          <w:t>下企业合并或其他方式增加的子公司以及业务，编制合并资产负债表时，不应当调整合并资产负债表的期初数。</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第三十三条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母公司在报告期内处置子公司以及业务，编制合并资产负债表时，不应当调整合并资产负债表的期初数。</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第二节</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合并利润表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第三十四条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合并利润表应当以母公司和子公司的利润表为基</w:t>
                        </w:r>
                        <w:r w:rsidRPr="00326030">
                          <w:rPr>
                            <w:rFonts w:ascii="Arial" w:eastAsia="宋体" w:hAnsi="Arial" w:cs="Arial"/>
                            <w:kern w:val="0"/>
                            <w:sz w:val="24"/>
                            <w:szCs w:val="24"/>
                          </w:rPr>
                          <w:lastRenderedPageBreak/>
                          <w:t>础，在</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母公司与子公司、子公司相互之间发生的内部交易对合并利润表的影响后，由母公司合并编制。</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（一）母公司与子公司、子公司相互之间销售商品所产生的营业收入和营业成本应当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母公司与子公司、子公司相互之间销售商品，期末全部实现对外销售的，应当将购买方的营业成本与销售方的营业收入相互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母公司与子公司、子公司相互之间销售商品，期末未实现对外销售而形成存货、固定资产、工程物资、在建工程、无形资产等资产的，在</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销售商品的营业成本和营业收入的同时，应当将各项资产所包含的未实现内部销售损益予以</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（二）在对母公司与子公司、子公司相互之间销售商品形成的固定资产或无形资产所包含的未实现内部销售损益进行</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的同时，也应当对固定资产的折旧额或无形资产的摊销额与未实现内部销售损益相关的部分进行</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（三）母公司与子公司、子公司相互之间持有对方债券所产生的投资收益、利息收入及其他综合收益等，应当与其相对应的发行方利息费用相互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（四）母公司对子公司、子公司相互之间持有对方长期股权投资的投资收益应当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（五）母公司与子公司、子公司相互之间发生的其他内部交易对合并利润表的影响应当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第三十五条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子公司当期净损益中属于少数股东权益的份额，应当在合并利润表中净利润项目下以</w:t>
                        </w:r>
                        <w:r w:rsidRPr="00326030">
                          <w:rPr>
                            <w:rFonts w:ascii="Arial" w:eastAsia="宋体" w:hAnsi="Arial" w:cs="Arial"/>
                            <w:kern w:val="0"/>
                            <w:sz w:val="24"/>
                            <w:szCs w:val="24"/>
                          </w:rPr>
                          <w:t>“</w:t>
                        </w:r>
                        <w:r w:rsidRPr="00326030">
                          <w:rPr>
                            <w:rFonts w:ascii="Arial" w:eastAsia="宋体" w:hAnsi="Arial" w:cs="Arial"/>
                            <w:kern w:val="0"/>
                            <w:sz w:val="24"/>
                            <w:szCs w:val="24"/>
                          </w:rPr>
                          <w:t>少数股东损益</w:t>
                        </w:r>
                        <w:r w:rsidRPr="00326030">
                          <w:rPr>
                            <w:rFonts w:ascii="Arial" w:eastAsia="宋体" w:hAnsi="Arial" w:cs="Arial"/>
                            <w:kern w:val="0"/>
                            <w:sz w:val="24"/>
                            <w:szCs w:val="24"/>
                          </w:rPr>
                          <w:t>”</w:t>
                        </w:r>
                        <w:r w:rsidRPr="00326030">
                          <w:rPr>
                            <w:rFonts w:ascii="Arial" w:eastAsia="宋体" w:hAnsi="Arial" w:cs="Arial"/>
                            <w:kern w:val="0"/>
                            <w:sz w:val="24"/>
                            <w:szCs w:val="24"/>
                          </w:rPr>
                          <w:t>项目列示。</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子公司当期综合收益中属于少数股东权益的份额，应当在合并</w:t>
                        </w:r>
                        <w:r w:rsidRPr="00326030">
                          <w:rPr>
                            <w:rFonts w:ascii="Arial" w:eastAsia="宋体" w:hAnsi="Arial" w:cs="Arial"/>
                            <w:kern w:val="0"/>
                            <w:sz w:val="24"/>
                            <w:szCs w:val="24"/>
                          </w:rPr>
                          <w:lastRenderedPageBreak/>
                          <w:t>利润表中综合收益总额项目下以</w:t>
                        </w:r>
                        <w:r w:rsidRPr="00326030">
                          <w:rPr>
                            <w:rFonts w:ascii="Arial" w:eastAsia="宋体" w:hAnsi="Arial" w:cs="Arial"/>
                            <w:kern w:val="0"/>
                            <w:sz w:val="24"/>
                            <w:szCs w:val="24"/>
                          </w:rPr>
                          <w:t>“</w:t>
                        </w:r>
                        <w:r w:rsidRPr="00326030">
                          <w:rPr>
                            <w:rFonts w:ascii="Arial" w:eastAsia="宋体" w:hAnsi="Arial" w:cs="Arial"/>
                            <w:kern w:val="0"/>
                            <w:sz w:val="24"/>
                            <w:szCs w:val="24"/>
                          </w:rPr>
                          <w:t>归属于少数股东的综合收益总额</w:t>
                        </w:r>
                        <w:r w:rsidRPr="00326030">
                          <w:rPr>
                            <w:rFonts w:ascii="Arial" w:eastAsia="宋体" w:hAnsi="Arial" w:cs="Arial"/>
                            <w:kern w:val="0"/>
                            <w:sz w:val="24"/>
                            <w:szCs w:val="24"/>
                          </w:rPr>
                          <w:t>”</w:t>
                        </w:r>
                        <w:r w:rsidRPr="00326030">
                          <w:rPr>
                            <w:rFonts w:ascii="Arial" w:eastAsia="宋体" w:hAnsi="Arial" w:cs="Arial"/>
                            <w:kern w:val="0"/>
                            <w:sz w:val="24"/>
                            <w:szCs w:val="24"/>
                          </w:rPr>
                          <w:t>项目列示。</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第三十六条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母公司向子公司出售资产所发生的未实现内部交易损益，应当全额</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r w:rsidRPr="00326030">
                          <w:rPr>
                            <w:rFonts w:ascii="Arial" w:eastAsia="宋体" w:hAnsi="Arial" w:cs="Arial"/>
                            <w:kern w:val="0"/>
                            <w:sz w:val="24"/>
                            <w:szCs w:val="24"/>
                          </w:rPr>
                          <w:t>归属于母公司所有者的净利润</w:t>
                        </w:r>
                        <w:r w:rsidRPr="00326030">
                          <w:rPr>
                            <w:rFonts w:ascii="Arial" w:eastAsia="宋体" w:hAnsi="Arial" w:cs="Arial"/>
                            <w:kern w:val="0"/>
                            <w:sz w:val="24"/>
                            <w:szCs w:val="24"/>
                          </w:rPr>
                          <w:t>”</w:t>
                        </w:r>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子公司向母公司出售资产所发生的未实现内部交易损益，应当按照母公司对该子公司的分配比例在</w:t>
                        </w:r>
                        <w:r w:rsidRPr="00326030">
                          <w:rPr>
                            <w:rFonts w:ascii="Arial" w:eastAsia="宋体" w:hAnsi="Arial" w:cs="Arial"/>
                            <w:kern w:val="0"/>
                            <w:sz w:val="24"/>
                            <w:szCs w:val="24"/>
                          </w:rPr>
                          <w:t>“</w:t>
                        </w:r>
                        <w:r w:rsidRPr="00326030">
                          <w:rPr>
                            <w:rFonts w:ascii="Arial" w:eastAsia="宋体" w:hAnsi="Arial" w:cs="Arial"/>
                            <w:kern w:val="0"/>
                            <w:sz w:val="24"/>
                            <w:szCs w:val="24"/>
                          </w:rPr>
                          <w:t>归属于母公司所有者的净利润</w:t>
                        </w:r>
                        <w:r w:rsidRPr="00326030">
                          <w:rPr>
                            <w:rFonts w:ascii="Arial" w:eastAsia="宋体" w:hAnsi="Arial" w:cs="Arial"/>
                            <w:kern w:val="0"/>
                            <w:sz w:val="24"/>
                            <w:szCs w:val="24"/>
                          </w:rPr>
                          <w:t>”</w:t>
                        </w:r>
                        <w:r w:rsidRPr="00326030">
                          <w:rPr>
                            <w:rFonts w:ascii="Arial" w:eastAsia="宋体" w:hAnsi="Arial" w:cs="Arial"/>
                            <w:kern w:val="0"/>
                            <w:sz w:val="24"/>
                            <w:szCs w:val="24"/>
                          </w:rPr>
                          <w:t>和</w:t>
                        </w:r>
                        <w:r w:rsidRPr="00326030">
                          <w:rPr>
                            <w:rFonts w:ascii="Arial" w:eastAsia="宋体" w:hAnsi="Arial" w:cs="Arial"/>
                            <w:kern w:val="0"/>
                            <w:sz w:val="24"/>
                            <w:szCs w:val="24"/>
                          </w:rPr>
                          <w:t>“</w:t>
                        </w:r>
                        <w:r w:rsidRPr="00326030">
                          <w:rPr>
                            <w:rFonts w:ascii="Arial" w:eastAsia="宋体" w:hAnsi="Arial" w:cs="Arial"/>
                            <w:kern w:val="0"/>
                            <w:sz w:val="24"/>
                            <w:szCs w:val="24"/>
                          </w:rPr>
                          <w:t>少数股东损益</w:t>
                        </w:r>
                        <w:r w:rsidRPr="00326030">
                          <w:rPr>
                            <w:rFonts w:ascii="Arial" w:eastAsia="宋体" w:hAnsi="Arial" w:cs="Arial"/>
                            <w:kern w:val="0"/>
                            <w:sz w:val="24"/>
                            <w:szCs w:val="24"/>
                          </w:rPr>
                          <w:t>”</w:t>
                        </w:r>
                        <w:r w:rsidRPr="00326030">
                          <w:rPr>
                            <w:rFonts w:ascii="Arial" w:eastAsia="宋体" w:hAnsi="Arial" w:cs="Arial"/>
                            <w:kern w:val="0"/>
                            <w:sz w:val="24"/>
                            <w:szCs w:val="24"/>
                          </w:rPr>
                          <w:t>之间分配</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子公司之间出售资产所发生的未实现内部交易损益，应当按照母公司对出售方子公司的分配比例在</w:t>
                        </w:r>
                        <w:r w:rsidRPr="00326030">
                          <w:rPr>
                            <w:rFonts w:ascii="Arial" w:eastAsia="宋体" w:hAnsi="Arial" w:cs="Arial"/>
                            <w:kern w:val="0"/>
                            <w:sz w:val="24"/>
                            <w:szCs w:val="24"/>
                          </w:rPr>
                          <w:t>“</w:t>
                        </w:r>
                        <w:r w:rsidRPr="00326030">
                          <w:rPr>
                            <w:rFonts w:ascii="Arial" w:eastAsia="宋体" w:hAnsi="Arial" w:cs="Arial"/>
                            <w:kern w:val="0"/>
                            <w:sz w:val="24"/>
                            <w:szCs w:val="24"/>
                          </w:rPr>
                          <w:t>归属于母公司所有者的净利润</w:t>
                        </w:r>
                        <w:r w:rsidRPr="00326030">
                          <w:rPr>
                            <w:rFonts w:ascii="Arial" w:eastAsia="宋体" w:hAnsi="Arial" w:cs="Arial"/>
                            <w:kern w:val="0"/>
                            <w:sz w:val="24"/>
                            <w:szCs w:val="24"/>
                          </w:rPr>
                          <w:t>”</w:t>
                        </w:r>
                        <w:r w:rsidRPr="00326030">
                          <w:rPr>
                            <w:rFonts w:ascii="Arial" w:eastAsia="宋体" w:hAnsi="Arial" w:cs="Arial"/>
                            <w:kern w:val="0"/>
                            <w:sz w:val="24"/>
                            <w:szCs w:val="24"/>
                          </w:rPr>
                          <w:t>和</w:t>
                        </w:r>
                        <w:r w:rsidRPr="00326030">
                          <w:rPr>
                            <w:rFonts w:ascii="Arial" w:eastAsia="宋体" w:hAnsi="Arial" w:cs="Arial"/>
                            <w:kern w:val="0"/>
                            <w:sz w:val="24"/>
                            <w:szCs w:val="24"/>
                          </w:rPr>
                          <w:t>“</w:t>
                        </w:r>
                        <w:r w:rsidRPr="00326030">
                          <w:rPr>
                            <w:rFonts w:ascii="Arial" w:eastAsia="宋体" w:hAnsi="Arial" w:cs="Arial"/>
                            <w:kern w:val="0"/>
                            <w:sz w:val="24"/>
                            <w:szCs w:val="24"/>
                          </w:rPr>
                          <w:t>少数股东损益</w:t>
                        </w:r>
                        <w:r w:rsidRPr="00326030">
                          <w:rPr>
                            <w:rFonts w:ascii="Arial" w:eastAsia="宋体" w:hAnsi="Arial" w:cs="Arial"/>
                            <w:kern w:val="0"/>
                            <w:sz w:val="24"/>
                            <w:szCs w:val="24"/>
                          </w:rPr>
                          <w:t>”</w:t>
                        </w:r>
                        <w:r w:rsidRPr="00326030">
                          <w:rPr>
                            <w:rFonts w:ascii="Arial" w:eastAsia="宋体" w:hAnsi="Arial" w:cs="Arial"/>
                            <w:kern w:val="0"/>
                            <w:sz w:val="24"/>
                            <w:szCs w:val="24"/>
                          </w:rPr>
                          <w:t>之间分配</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第三十七条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子公司少数股东分担的当期亏损超过了少数股东在该子公司期初所有者权益中所享有的份额的，其余额仍应当</w:t>
                        </w:r>
                        <w:proofErr w:type="gramStart"/>
                        <w:r w:rsidRPr="00326030">
                          <w:rPr>
                            <w:rFonts w:ascii="Arial" w:eastAsia="宋体" w:hAnsi="Arial" w:cs="Arial"/>
                            <w:kern w:val="0"/>
                            <w:sz w:val="24"/>
                            <w:szCs w:val="24"/>
                          </w:rPr>
                          <w:t>冲减少</w:t>
                        </w:r>
                        <w:proofErr w:type="gramEnd"/>
                        <w:r w:rsidRPr="00326030">
                          <w:rPr>
                            <w:rFonts w:ascii="Arial" w:eastAsia="宋体" w:hAnsi="Arial" w:cs="Arial"/>
                            <w:kern w:val="0"/>
                            <w:sz w:val="24"/>
                            <w:szCs w:val="24"/>
                          </w:rPr>
                          <w:t>数股东权益。</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第三十八条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母公司在报告期内因同</w:t>
                        </w:r>
                        <w:proofErr w:type="gramStart"/>
                        <w:r w:rsidRPr="00326030">
                          <w:rPr>
                            <w:rFonts w:ascii="Arial" w:eastAsia="宋体" w:hAnsi="Arial" w:cs="Arial"/>
                            <w:kern w:val="0"/>
                            <w:sz w:val="24"/>
                            <w:szCs w:val="24"/>
                          </w:rPr>
                          <w:t>一控制</w:t>
                        </w:r>
                        <w:proofErr w:type="gramEnd"/>
                        <w:r w:rsidRPr="00326030">
                          <w:rPr>
                            <w:rFonts w:ascii="Arial" w:eastAsia="宋体" w:hAnsi="Arial" w:cs="Arial"/>
                            <w:kern w:val="0"/>
                            <w:sz w:val="24"/>
                            <w:szCs w:val="24"/>
                          </w:rPr>
                          <w:t>下企业合并增加的子公司以及业务，应当将该子公司以及业务合并当期期初</w:t>
                        </w:r>
                        <w:proofErr w:type="gramStart"/>
                        <w:r w:rsidRPr="00326030">
                          <w:rPr>
                            <w:rFonts w:ascii="Arial" w:eastAsia="宋体" w:hAnsi="Arial" w:cs="Arial"/>
                            <w:kern w:val="0"/>
                            <w:sz w:val="24"/>
                            <w:szCs w:val="24"/>
                          </w:rPr>
                          <w:t>至报告</w:t>
                        </w:r>
                        <w:proofErr w:type="gramEnd"/>
                        <w:r w:rsidRPr="00326030">
                          <w:rPr>
                            <w:rFonts w:ascii="Arial" w:eastAsia="宋体" w:hAnsi="Arial" w:cs="Arial"/>
                            <w:kern w:val="0"/>
                            <w:sz w:val="24"/>
                            <w:szCs w:val="24"/>
                          </w:rPr>
                          <w:t>期末的收入、费用、利润纳入合并利润表，同时应当对比较报表的相关项目进行调整，视同合并后的报告主体</w:t>
                        </w:r>
                        <w:proofErr w:type="gramStart"/>
                        <w:r w:rsidRPr="00326030">
                          <w:rPr>
                            <w:rFonts w:ascii="Arial" w:eastAsia="宋体" w:hAnsi="Arial" w:cs="Arial"/>
                            <w:kern w:val="0"/>
                            <w:sz w:val="24"/>
                            <w:szCs w:val="24"/>
                          </w:rPr>
                          <w:t>自最终</w:t>
                        </w:r>
                        <w:proofErr w:type="gramEnd"/>
                        <w:r w:rsidRPr="00326030">
                          <w:rPr>
                            <w:rFonts w:ascii="Arial" w:eastAsia="宋体" w:hAnsi="Arial" w:cs="Arial"/>
                            <w:kern w:val="0"/>
                            <w:sz w:val="24"/>
                            <w:szCs w:val="24"/>
                          </w:rPr>
                          <w:t>控制方开始控制时点起一直存在。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因非同</w:t>
                        </w:r>
                        <w:proofErr w:type="gramStart"/>
                        <w:r w:rsidRPr="00326030">
                          <w:rPr>
                            <w:rFonts w:ascii="Arial" w:eastAsia="宋体" w:hAnsi="Arial" w:cs="Arial"/>
                            <w:kern w:val="0"/>
                            <w:sz w:val="24"/>
                            <w:szCs w:val="24"/>
                          </w:rPr>
                          <w:t>一控制</w:t>
                        </w:r>
                        <w:proofErr w:type="gramEnd"/>
                        <w:r w:rsidRPr="00326030">
                          <w:rPr>
                            <w:rFonts w:ascii="Arial" w:eastAsia="宋体" w:hAnsi="Arial" w:cs="Arial"/>
                            <w:kern w:val="0"/>
                            <w:sz w:val="24"/>
                            <w:szCs w:val="24"/>
                          </w:rPr>
                          <w:t>下企业合并或其他方式增加的子公司以及业务，应当将该子公司以及业务购买日至报告期末的收入、费用、利润纳入合并利润表。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第三十九条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母公司在报告期内处置子公司以及业务，应当将该子公司以及业务期初至</w:t>
                        </w:r>
                        <w:proofErr w:type="gramStart"/>
                        <w:r w:rsidRPr="00326030">
                          <w:rPr>
                            <w:rFonts w:ascii="Arial" w:eastAsia="宋体" w:hAnsi="Arial" w:cs="Arial"/>
                            <w:kern w:val="0"/>
                            <w:sz w:val="24"/>
                            <w:szCs w:val="24"/>
                          </w:rPr>
                          <w:t>处置日</w:t>
                        </w:r>
                        <w:proofErr w:type="gramEnd"/>
                        <w:r w:rsidRPr="00326030">
                          <w:rPr>
                            <w:rFonts w:ascii="Arial" w:eastAsia="宋体" w:hAnsi="Arial" w:cs="Arial"/>
                            <w:kern w:val="0"/>
                            <w:sz w:val="24"/>
                            <w:szCs w:val="24"/>
                          </w:rPr>
                          <w:t>的收入、费用、利润纳入合并利润表。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第三节</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合并现金流量表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lastRenderedPageBreak/>
                          <w:t xml:space="preserve">　　第四十条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合并现金流量表应当以母公司和子公司的现金流量表为基础，在</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母公司与子公司、子公司相互之间发生的内部交易对合并现金流量表的影响后，由母公司合并编制。</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本准则提及现金时，除非同时提及现金等价物，均包括现金和现金等价物。</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第四十一条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编制合并现金流量表应当符合下列要求：</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（一）母公司与子公司、子公司相互之间当期以现金投资或收购股权增加的投资所产生的现金流量应当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（二）母公司与子公司、子公司相互之间当期取得投资收益、利息收入收到的现金，应当与分配股利、利润或偿付利息支付的现金相互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（三）母公司与子公司、子公司相互之间以现金结算债权与债务所产生的现金流量应当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（四）母公司与子公司、子公司相互之间当期销售商品所产生的现金流量应当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（五）母公司与子公司、子公司相互之间处置固定资产、无形资产和其他长期资产收回的现金净额，应当与购建固定资产、无形资产和其他长期资产支付的现金相互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（六）母公司与子公司、子公司相互之间当期发生的其他内部交易所产生的现金流量应当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第四十二条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合并现金流量表及其补充资料也可以根据合并资产负债表和合并利润表进行编制。</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第四十三条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母公司在报告期内因同</w:t>
                        </w:r>
                        <w:proofErr w:type="gramStart"/>
                        <w:r w:rsidRPr="00326030">
                          <w:rPr>
                            <w:rFonts w:ascii="Arial" w:eastAsia="宋体" w:hAnsi="Arial" w:cs="Arial"/>
                            <w:kern w:val="0"/>
                            <w:sz w:val="24"/>
                            <w:szCs w:val="24"/>
                          </w:rPr>
                          <w:t>一控制</w:t>
                        </w:r>
                        <w:proofErr w:type="gramEnd"/>
                        <w:r w:rsidRPr="00326030">
                          <w:rPr>
                            <w:rFonts w:ascii="Arial" w:eastAsia="宋体" w:hAnsi="Arial" w:cs="Arial"/>
                            <w:kern w:val="0"/>
                            <w:sz w:val="24"/>
                            <w:szCs w:val="24"/>
                          </w:rPr>
                          <w:t>下企业合并增加的子公司以及业务，应当将该子公司以及业务合并当期期</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lastRenderedPageBreak/>
                          <w:t xml:space="preserve">　　初</w:t>
                        </w:r>
                        <w:proofErr w:type="gramStart"/>
                        <w:r w:rsidRPr="00326030">
                          <w:rPr>
                            <w:rFonts w:ascii="Arial" w:eastAsia="宋体" w:hAnsi="Arial" w:cs="Arial"/>
                            <w:kern w:val="0"/>
                            <w:sz w:val="24"/>
                            <w:szCs w:val="24"/>
                          </w:rPr>
                          <w:t>至报告</w:t>
                        </w:r>
                        <w:proofErr w:type="gramEnd"/>
                        <w:r w:rsidRPr="00326030">
                          <w:rPr>
                            <w:rFonts w:ascii="Arial" w:eastAsia="宋体" w:hAnsi="Arial" w:cs="Arial"/>
                            <w:kern w:val="0"/>
                            <w:sz w:val="24"/>
                            <w:szCs w:val="24"/>
                          </w:rPr>
                          <w:t>期末的现金流量纳入合并现金流量表，同时应当对比较报表的相关项目进行调整，视同合并后的报告主体</w:t>
                        </w:r>
                        <w:proofErr w:type="gramStart"/>
                        <w:r w:rsidRPr="00326030">
                          <w:rPr>
                            <w:rFonts w:ascii="Arial" w:eastAsia="宋体" w:hAnsi="Arial" w:cs="Arial"/>
                            <w:kern w:val="0"/>
                            <w:sz w:val="24"/>
                            <w:szCs w:val="24"/>
                          </w:rPr>
                          <w:t>自最终</w:t>
                        </w:r>
                        <w:proofErr w:type="gramEnd"/>
                        <w:r w:rsidRPr="00326030">
                          <w:rPr>
                            <w:rFonts w:ascii="Arial" w:eastAsia="宋体" w:hAnsi="Arial" w:cs="Arial"/>
                            <w:kern w:val="0"/>
                            <w:sz w:val="24"/>
                            <w:szCs w:val="24"/>
                          </w:rPr>
                          <w:t>控制方开始控制时点起一直存在。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因非同</w:t>
                        </w:r>
                        <w:proofErr w:type="gramStart"/>
                        <w:r w:rsidRPr="00326030">
                          <w:rPr>
                            <w:rFonts w:ascii="Arial" w:eastAsia="宋体" w:hAnsi="Arial" w:cs="Arial"/>
                            <w:kern w:val="0"/>
                            <w:sz w:val="24"/>
                            <w:szCs w:val="24"/>
                          </w:rPr>
                          <w:t>一控制</w:t>
                        </w:r>
                        <w:proofErr w:type="gramEnd"/>
                        <w:r w:rsidRPr="00326030">
                          <w:rPr>
                            <w:rFonts w:ascii="Arial" w:eastAsia="宋体" w:hAnsi="Arial" w:cs="Arial"/>
                            <w:kern w:val="0"/>
                            <w:sz w:val="24"/>
                            <w:szCs w:val="24"/>
                          </w:rPr>
                          <w:t>下企业合并增加的子公司以及业务，应当将该子公司购买日至报告期末的现金流量纳入合并现金流量表。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第四十四条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母公司在报告期内处置子公司以及业务，应当将该子公司以及业务期初至</w:t>
                        </w:r>
                        <w:proofErr w:type="gramStart"/>
                        <w:r w:rsidRPr="00326030">
                          <w:rPr>
                            <w:rFonts w:ascii="Arial" w:eastAsia="宋体" w:hAnsi="Arial" w:cs="Arial"/>
                            <w:kern w:val="0"/>
                            <w:sz w:val="24"/>
                            <w:szCs w:val="24"/>
                          </w:rPr>
                          <w:t>处置日</w:t>
                        </w:r>
                        <w:proofErr w:type="gramEnd"/>
                        <w:r w:rsidRPr="00326030">
                          <w:rPr>
                            <w:rFonts w:ascii="Arial" w:eastAsia="宋体" w:hAnsi="Arial" w:cs="Arial"/>
                            <w:kern w:val="0"/>
                            <w:sz w:val="24"/>
                            <w:szCs w:val="24"/>
                          </w:rPr>
                          <w:t>的现金流量纳入合并现金流量表。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第四节</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合并所有者权益变动表</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第四十五条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合并所有者权益变动表应当以母公司和子公司的所有者权益变动表为基础，在</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母公司与子公司、子公司相互之间发生的内部交易对合并所有者权益变动表的影响后，由母公司合并编制。</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（一）母公司对子公司的长期股权投资应当与母公司在子公司所有者权益中所享有的份额相互</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子公司持有母公司的长期股权投资以及子公司相互之间持有的长期股权投资，应当按照本准则第三十条规定处理。</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（二）母公司对子公司、子公司相互之间持有对方长期股权投资的投资收益应当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（三）母公司与子公司、子公司相互之间发生的其他内部交易对所有者权益变动的影响应当</w:t>
                        </w:r>
                        <w:proofErr w:type="gramStart"/>
                        <w:r w:rsidRPr="00326030">
                          <w:rPr>
                            <w:rFonts w:ascii="Arial" w:eastAsia="宋体" w:hAnsi="Arial" w:cs="Arial"/>
                            <w:kern w:val="0"/>
                            <w:sz w:val="24"/>
                            <w:szCs w:val="24"/>
                          </w:rPr>
                          <w:t>抵销</w:t>
                        </w:r>
                        <w:proofErr w:type="gramEnd"/>
                        <w:r w:rsidRPr="00326030">
                          <w:rPr>
                            <w:rFonts w:ascii="Arial" w:eastAsia="宋体" w:hAnsi="Arial" w:cs="Arial"/>
                            <w:kern w:val="0"/>
                            <w:sz w:val="24"/>
                            <w:szCs w:val="24"/>
                          </w:rPr>
                          <w:t>。</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合并所有者权益变动表也可以根据合并资产负债表和合并利润表进行编制。</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第四十六条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有少数股东的，应当在合并所有者权益变动表中增加</w:t>
                        </w:r>
                        <w:r w:rsidRPr="00326030">
                          <w:rPr>
                            <w:rFonts w:ascii="Arial" w:eastAsia="宋体" w:hAnsi="Arial" w:cs="Arial"/>
                            <w:kern w:val="0"/>
                            <w:sz w:val="24"/>
                            <w:szCs w:val="24"/>
                          </w:rPr>
                          <w:t>“</w:t>
                        </w:r>
                        <w:r w:rsidRPr="00326030">
                          <w:rPr>
                            <w:rFonts w:ascii="Arial" w:eastAsia="宋体" w:hAnsi="Arial" w:cs="Arial"/>
                            <w:kern w:val="0"/>
                            <w:sz w:val="24"/>
                            <w:szCs w:val="24"/>
                          </w:rPr>
                          <w:t>少数股东权益</w:t>
                        </w:r>
                        <w:r w:rsidRPr="00326030">
                          <w:rPr>
                            <w:rFonts w:ascii="Arial" w:eastAsia="宋体" w:hAnsi="Arial" w:cs="Arial"/>
                            <w:kern w:val="0"/>
                            <w:sz w:val="24"/>
                            <w:szCs w:val="24"/>
                          </w:rPr>
                          <w:t>”</w:t>
                        </w:r>
                        <w:r w:rsidRPr="00326030">
                          <w:rPr>
                            <w:rFonts w:ascii="Arial" w:eastAsia="宋体" w:hAnsi="Arial" w:cs="Arial"/>
                            <w:kern w:val="0"/>
                            <w:sz w:val="24"/>
                            <w:szCs w:val="24"/>
                          </w:rPr>
                          <w:t>栏目，反映少数股东权益变动的情况。</w:t>
                        </w:r>
                      </w:p>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b/>
                            <w:bCs/>
                            <w:kern w:val="0"/>
                            <w:sz w:val="24"/>
                            <w:szCs w:val="24"/>
                          </w:rPr>
                          <w:lastRenderedPageBreak/>
                          <w:t>第四章</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特殊交易的会计处理</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第四十七条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母公司购买子公司少数股东拥有的子公司股权，在合并财务报表中，因购买少数股权新取得的长期股权投资与按照新增持股比例计算应享有子公司自购买日或</w:t>
                        </w:r>
                        <w:proofErr w:type="gramStart"/>
                        <w:r w:rsidRPr="00326030">
                          <w:rPr>
                            <w:rFonts w:ascii="Arial" w:eastAsia="宋体" w:hAnsi="Arial" w:cs="Arial"/>
                            <w:kern w:val="0"/>
                            <w:sz w:val="24"/>
                            <w:szCs w:val="24"/>
                          </w:rPr>
                          <w:t>合并日</w:t>
                        </w:r>
                        <w:proofErr w:type="gramEnd"/>
                        <w:r w:rsidRPr="00326030">
                          <w:rPr>
                            <w:rFonts w:ascii="Arial" w:eastAsia="宋体" w:hAnsi="Arial" w:cs="Arial"/>
                            <w:kern w:val="0"/>
                            <w:sz w:val="24"/>
                            <w:szCs w:val="24"/>
                          </w:rPr>
                          <w:t>开始持续计算的净资产份额之间的差额，应当调整资本公积（资本溢价或股本溢价），资本公</w:t>
                        </w:r>
                        <w:proofErr w:type="gramStart"/>
                        <w:r w:rsidRPr="00326030">
                          <w:rPr>
                            <w:rFonts w:ascii="Arial" w:eastAsia="宋体" w:hAnsi="Arial" w:cs="Arial"/>
                            <w:kern w:val="0"/>
                            <w:sz w:val="24"/>
                            <w:szCs w:val="24"/>
                          </w:rPr>
                          <w:t>积不足</w:t>
                        </w:r>
                        <w:proofErr w:type="gramEnd"/>
                        <w:r w:rsidRPr="00326030">
                          <w:rPr>
                            <w:rFonts w:ascii="Arial" w:eastAsia="宋体" w:hAnsi="Arial" w:cs="Arial"/>
                            <w:kern w:val="0"/>
                            <w:sz w:val="24"/>
                            <w:szCs w:val="24"/>
                          </w:rPr>
                          <w:t>冲减的，调整留存收益。</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第四十八条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企业因追加投资等原因能够对非同</w:t>
                        </w:r>
                        <w:proofErr w:type="gramStart"/>
                        <w:r w:rsidRPr="00326030">
                          <w:rPr>
                            <w:rFonts w:ascii="Arial" w:eastAsia="宋体" w:hAnsi="Arial" w:cs="Arial"/>
                            <w:kern w:val="0"/>
                            <w:sz w:val="24"/>
                            <w:szCs w:val="24"/>
                          </w:rPr>
                          <w:t>一控制</w:t>
                        </w:r>
                        <w:proofErr w:type="gramEnd"/>
                        <w:r w:rsidRPr="00326030">
                          <w:rPr>
                            <w:rFonts w:ascii="Arial" w:eastAsia="宋体" w:hAnsi="Arial" w:cs="Arial"/>
                            <w:kern w:val="0"/>
                            <w:sz w:val="24"/>
                            <w:szCs w:val="24"/>
                          </w:rPr>
                          <w:t>下的被投资方实施控制的，在合并财务报表中，对于购买日之前持有的被购买方的股权，应当按照该股权在购买日的公允价值进行重新计量，公允价值与其账面价值的差额计入当期投资收益；购买日之前持有的被购买方的股权涉及权益法核算下的其他综合收益等的，与其相关的其他综合收益等应当转为购买日所属当期收益。购买方应当在附注中披露其在购买日之前持有的被购买方的股权在购买日的公允价值、按照公允价值重新计量产生的相关利得或损失的金额。</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第四十九条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母公司在不丧失控制权的情况下部分处置对子公司的长期股权投资，在合并财务报表中，处置价款与处置长期股权投资相对应享有子公司自购买日或</w:t>
                        </w:r>
                        <w:proofErr w:type="gramStart"/>
                        <w:r w:rsidRPr="00326030">
                          <w:rPr>
                            <w:rFonts w:ascii="Arial" w:eastAsia="宋体" w:hAnsi="Arial" w:cs="Arial"/>
                            <w:kern w:val="0"/>
                            <w:sz w:val="24"/>
                            <w:szCs w:val="24"/>
                          </w:rPr>
                          <w:t>合并日</w:t>
                        </w:r>
                        <w:proofErr w:type="gramEnd"/>
                        <w:r w:rsidRPr="00326030">
                          <w:rPr>
                            <w:rFonts w:ascii="Arial" w:eastAsia="宋体" w:hAnsi="Arial" w:cs="Arial"/>
                            <w:kern w:val="0"/>
                            <w:sz w:val="24"/>
                            <w:szCs w:val="24"/>
                          </w:rPr>
                          <w:t>开始持续计算的净资产份额之间的差额，应当调整资本公积（资本溢价或股本溢价），资本公</w:t>
                        </w:r>
                        <w:proofErr w:type="gramStart"/>
                        <w:r w:rsidRPr="00326030">
                          <w:rPr>
                            <w:rFonts w:ascii="Arial" w:eastAsia="宋体" w:hAnsi="Arial" w:cs="Arial"/>
                            <w:kern w:val="0"/>
                            <w:sz w:val="24"/>
                            <w:szCs w:val="24"/>
                          </w:rPr>
                          <w:t>积不足</w:t>
                        </w:r>
                        <w:proofErr w:type="gramEnd"/>
                        <w:r w:rsidRPr="00326030">
                          <w:rPr>
                            <w:rFonts w:ascii="Arial" w:eastAsia="宋体" w:hAnsi="Arial" w:cs="Arial"/>
                            <w:kern w:val="0"/>
                            <w:sz w:val="24"/>
                            <w:szCs w:val="24"/>
                          </w:rPr>
                          <w:t>冲减的，调整留存收益。</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第五十条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企业因处置部分股权投资等原因丧失了对被投资方的控制权的，在编制合并财务报表时，对于剩余股权，应当按照其在丧失控制权日的公允价值进行重新计量。处置股权取得的对价与剩余股权公允价值之和，减去按原持股比例计算应享有原有子公司自购买日或</w:t>
                        </w:r>
                        <w:proofErr w:type="gramStart"/>
                        <w:r w:rsidRPr="00326030">
                          <w:rPr>
                            <w:rFonts w:ascii="Arial" w:eastAsia="宋体" w:hAnsi="Arial" w:cs="Arial"/>
                            <w:kern w:val="0"/>
                            <w:sz w:val="24"/>
                            <w:szCs w:val="24"/>
                          </w:rPr>
                          <w:t>合并日</w:t>
                        </w:r>
                        <w:proofErr w:type="gramEnd"/>
                        <w:r w:rsidRPr="00326030">
                          <w:rPr>
                            <w:rFonts w:ascii="Arial" w:eastAsia="宋体" w:hAnsi="Arial" w:cs="Arial"/>
                            <w:kern w:val="0"/>
                            <w:sz w:val="24"/>
                            <w:szCs w:val="24"/>
                          </w:rPr>
                          <w:t>开始持续计算的净资产的份额之间的差额，计入</w:t>
                        </w:r>
                        <w:r w:rsidRPr="00326030">
                          <w:rPr>
                            <w:rFonts w:ascii="Arial" w:eastAsia="宋体" w:hAnsi="Arial" w:cs="Arial"/>
                            <w:kern w:val="0"/>
                            <w:sz w:val="24"/>
                            <w:szCs w:val="24"/>
                          </w:rPr>
                          <w:lastRenderedPageBreak/>
                          <w:t>丧失控制权当期的投资收益，同时冲减商誉。与原有子公司股权投资相关的其他综合收益等，应当在丧失控制权时转为当期投资收益。</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第五十一条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企业通过多次交易分步处置对子公司股权投资直至丧失控制权的，如果处置对子公司股权投资直至丧失控制权的各项交易属于一揽子交易的，应当将各项交易作为一项处置子公司并丧失控制权的交易进行会计处理；但是，在丧失控制权之前每一次处置价款与处置投资对应的享有该子公司净资产份额的差额，在合并财务报表中应当确认为其他综合收益，在丧失控制权时一并转入丧失控制权当期的损益。</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处置对子公司股权投资的各项交易的条款、条件以及经济影响符合下列一种或多种情况，通常表明应将多次交易事项作为一揽子交易进行会计处理：</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（一）这些交易是同时或者在考虑了彼此影响的情况下订立的。</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（二）这些交易整体才能达成一项完整的商业结果。</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（三）一项交易的发生取决于其他至少一项交易的发生。</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（四）一项交易单独考虑时是不经济的，但是和其他交易一并考虑时是经济的。</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第五十二条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对于本章未列举的交易或者事项，如果站在企业集团合并财务报表角度的确认和计量结果与其所属的母公司或子公司的个别财务报表层面的确认和计量结果不一致的，则在编制合并财务报表时，也应当按照本准则第二十六条第二款第（四）项的规定，对其确认和计量结果予以相应调整。</w:t>
                        </w:r>
                      </w:p>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b/>
                            <w:bCs/>
                            <w:kern w:val="0"/>
                            <w:sz w:val="24"/>
                            <w:szCs w:val="24"/>
                          </w:rPr>
                          <w:t>第五章</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衔接规定</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第五十三条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首次采用本准则的企业应当根据本准则的规定对</w:t>
                        </w:r>
                        <w:r w:rsidRPr="00326030">
                          <w:rPr>
                            <w:rFonts w:ascii="Arial" w:eastAsia="宋体" w:hAnsi="Arial" w:cs="Arial"/>
                            <w:kern w:val="0"/>
                            <w:sz w:val="24"/>
                            <w:szCs w:val="24"/>
                          </w:rPr>
                          <w:lastRenderedPageBreak/>
                          <w:t>被投资方进行重新评估，确定其是否应纳入合并财务报表范围。因首次采用本准则导致合并范围发生变化的，应当进行追溯调整，追溯调整不切实可行的除外。比较期间已丧失控制权的原子公司，不再追溯调整。</w:t>
                        </w:r>
                      </w:p>
                      <w:p w:rsidR="00326030" w:rsidRPr="00326030" w:rsidRDefault="00326030" w:rsidP="00326030">
                        <w:pPr>
                          <w:widowControl/>
                          <w:spacing w:line="432" w:lineRule="auto"/>
                          <w:jc w:val="center"/>
                          <w:rPr>
                            <w:rFonts w:ascii="Arial" w:eastAsia="宋体" w:hAnsi="Arial" w:cs="Arial"/>
                            <w:kern w:val="0"/>
                            <w:sz w:val="24"/>
                            <w:szCs w:val="24"/>
                          </w:rPr>
                        </w:pPr>
                        <w:r w:rsidRPr="00326030">
                          <w:rPr>
                            <w:rFonts w:ascii="Arial" w:eastAsia="宋体" w:hAnsi="Arial" w:cs="Arial"/>
                            <w:b/>
                            <w:bCs/>
                            <w:kern w:val="0"/>
                            <w:sz w:val="24"/>
                            <w:szCs w:val="24"/>
                          </w:rPr>
                          <w:t>第六章</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附</w:t>
                        </w:r>
                        <w:r w:rsidRPr="00326030">
                          <w:rPr>
                            <w:rFonts w:ascii="Arial" w:eastAsia="宋体" w:hAnsi="Arial" w:cs="Arial"/>
                            <w:b/>
                            <w:bCs/>
                            <w:kern w:val="0"/>
                            <w:sz w:val="24"/>
                            <w:szCs w:val="24"/>
                          </w:rPr>
                          <w:t xml:space="preserve"> </w:t>
                        </w:r>
                        <w:r w:rsidRPr="00326030">
                          <w:rPr>
                            <w:rFonts w:ascii="Arial" w:eastAsia="宋体" w:hAnsi="Arial" w:cs="Arial"/>
                            <w:b/>
                            <w:bCs/>
                            <w:kern w:val="0"/>
                            <w:sz w:val="24"/>
                            <w:szCs w:val="24"/>
                          </w:rPr>
                          <w:t>则</w:t>
                        </w:r>
                      </w:p>
                      <w:p w:rsidR="00326030" w:rsidRPr="00326030" w:rsidRDefault="00326030" w:rsidP="00326030">
                        <w:pPr>
                          <w:widowControl/>
                          <w:spacing w:line="432" w:lineRule="auto"/>
                          <w:jc w:val="left"/>
                          <w:rPr>
                            <w:rFonts w:ascii="Arial" w:eastAsia="宋体" w:hAnsi="Arial" w:cs="Arial"/>
                            <w:kern w:val="0"/>
                            <w:sz w:val="24"/>
                            <w:szCs w:val="24"/>
                          </w:rPr>
                        </w:pPr>
                        <w:r w:rsidRPr="00326030">
                          <w:rPr>
                            <w:rFonts w:ascii="Arial" w:eastAsia="宋体" w:hAnsi="Arial" w:cs="Arial"/>
                            <w:kern w:val="0"/>
                            <w:sz w:val="24"/>
                            <w:szCs w:val="24"/>
                          </w:rPr>
                          <w:t xml:space="preserve">　　第五十四条</w:t>
                        </w:r>
                        <w:r w:rsidRPr="00326030">
                          <w:rPr>
                            <w:rFonts w:ascii="Arial" w:eastAsia="宋体" w:hAnsi="Arial" w:cs="Arial"/>
                            <w:kern w:val="0"/>
                            <w:sz w:val="24"/>
                            <w:szCs w:val="24"/>
                          </w:rPr>
                          <w:t xml:space="preserve"> </w:t>
                        </w:r>
                        <w:r w:rsidRPr="00326030">
                          <w:rPr>
                            <w:rFonts w:ascii="Arial" w:eastAsia="宋体" w:hAnsi="Arial" w:cs="Arial"/>
                            <w:kern w:val="0"/>
                            <w:sz w:val="24"/>
                            <w:szCs w:val="24"/>
                          </w:rPr>
                          <w:t>本准则自</w:t>
                        </w:r>
                        <w:r w:rsidRPr="00326030">
                          <w:rPr>
                            <w:rFonts w:ascii="Arial" w:eastAsia="宋体" w:hAnsi="Arial" w:cs="Arial"/>
                            <w:kern w:val="0"/>
                            <w:sz w:val="24"/>
                            <w:szCs w:val="24"/>
                          </w:rPr>
                          <w:t>2014</w:t>
                        </w:r>
                        <w:r w:rsidRPr="00326030">
                          <w:rPr>
                            <w:rFonts w:ascii="Arial" w:eastAsia="宋体" w:hAnsi="Arial" w:cs="Arial"/>
                            <w:kern w:val="0"/>
                            <w:sz w:val="24"/>
                            <w:szCs w:val="24"/>
                          </w:rPr>
                          <w:t>年</w:t>
                        </w:r>
                        <w:r w:rsidRPr="00326030">
                          <w:rPr>
                            <w:rFonts w:ascii="Arial" w:eastAsia="宋体" w:hAnsi="Arial" w:cs="Arial"/>
                            <w:kern w:val="0"/>
                            <w:sz w:val="24"/>
                            <w:szCs w:val="24"/>
                          </w:rPr>
                          <w:t>7</w:t>
                        </w:r>
                        <w:r w:rsidRPr="00326030">
                          <w:rPr>
                            <w:rFonts w:ascii="Arial" w:eastAsia="宋体" w:hAnsi="Arial" w:cs="Arial"/>
                            <w:kern w:val="0"/>
                            <w:sz w:val="24"/>
                            <w:szCs w:val="24"/>
                          </w:rPr>
                          <w:t>月</w:t>
                        </w:r>
                        <w:r w:rsidRPr="00326030">
                          <w:rPr>
                            <w:rFonts w:ascii="Arial" w:eastAsia="宋体" w:hAnsi="Arial" w:cs="Arial"/>
                            <w:kern w:val="0"/>
                            <w:sz w:val="24"/>
                            <w:szCs w:val="24"/>
                          </w:rPr>
                          <w:t>1</w:t>
                        </w:r>
                        <w:r w:rsidRPr="00326030">
                          <w:rPr>
                            <w:rFonts w:ascii="Arial" w:eastAsia="宋体" w:hAnsi="Arial" w:cs="Arial"/>
                            <w:kern w:val="0"/>
                            <w:sz w:val="24"/>
                            <w:szCs w:val="24"/>
                          </w:rPr>
                          <w:t>日起施行。</w:t>
                        </w:r>
                      </w:p>
                    </w:tc>
                  </w:tr>
                </w:tbl>
                <w:p w:rsidR="00326030" w:rsidRPr="00326030" w:rsidRDefault="00326030" w:rsidP="00326030">
                  <w:pPr>
                    <w:widowControl/>
                    <w:spacing w:line="432" w:lineRule="auto"/>
                    <w:jc w:val="center"/>
                    <w:rPr>
                      <w:rFonts w:ascii="Arial" w:eastAsia="宋体" w:hAnsi="Arial" w:cs="Arial"/>
                      <w:kern w:val="0"/>
                      <w:sz w:val="18"/>
                      <w:szCs w:val="18"/>
                    </w:rPr>
                  </w:pPr>
                </w:p>
              </w:tc>
            </w:tr>
          </w:tbl>
          <w:p w:rsidR="00326030" w:rsidRPr="00326030" w:rsidRDefault="00326030" w:rsidP="00326030">
            <w:pPr>
              <w:widowControl/>
              <w:spacing w:line="432" w:lineRule="auto"/>
              <w:jc w:val="left"/>
              <w:rPr>
                <w:rFonts w:ascii="Arial" w:eastAsia="宋体" w:hAnsi="Arial" w:cs="Arial"/>
                <w:kern w:val="0"/>
                <w:sz w:val="18"/>
                <w:szCs w:val="18"/>
              </w:rPr>
            </w:pPr>
          </w:p>
        </w:tc>
      </w:tr>
    </w:tbl>
    <w:p w:rsidR="003C2338" w:rsidRPr="00326030" w:rsidRDefault="00BE68E7"/>
    <w:sectPr w:rsidR="003C2338" w:rsidRPr="00326030" w:rsidSect="00E90A6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68E7" w:rsidRDefault="00BE68E7" w:rsidP="00326030">
      <w:r>
        <w:separator/>
      </w:r>
    </w:p>
  </w:endnote>
  <w:endnote w:type="continuationSeparator" w:id="0">
    <w:p w:rsidR="00BE68E7" w:rsidRDefault="00BE68E7" w:rsidP="0032603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68E7" w:rsidRDefault="00BE68E7" w:rsidP="00326030">
      <w:r>
        <w:separator/>
      </w:r>
    </w:p>
  </w:footnote>
  <w:footnote w:type="continuationSeparator" w:id="0">
    <w:p w:rsidR="00BE68E7" w:rsidRDefault="00BE68E7" w:rsidP="0032603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26030"/>
    <w:rsid w:val="00326030"/>
    <w:rsid w:val="00337652"/>
    <w:rsid w:val="00513637"/>
    <w:rsid w:val="00BE68E7"/>
    <w:rsid w:val="00E90A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0A6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2603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26030"/>
    <w:rPr>
      <w:sz w:val="18"/>
      <w:szCs w:val="18"/>
    </w:rPr>
  </w:style>
  <w:style w:type="paragraph" w:styleId="a4">
    <w:name w:val="footer"/>
    <w:basedOn w:val="a"/>
    <w:link w:val="Char0"/>
    <w:uiPriority w:val="99"/>
    <w:semiHidden/>
    <w:unhideWhenUsed/>
    <w:rsid w:val="00326030"/>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26030"/>
    <w:rPr>
      <w:sz w:val="18"/>
      <w:szCs w:val="18"/>
    </w:rPr>
  </w:style>
  <w:style w:type="character" w:styleId="a5">
    <w:name w:val="Strong"/>
    <w:basedOn w:val="a0"/>
    <w:uiPriority w:val="22"/>
    <w:qFormat/>
    <w:rsid w:val="00326030"/>
    <w:rPr>
      <w:b/>
      <w:bCs/>
    </w:rPr>
  </w:style>
</w:styles>
</file>

<file path=word/webSettings.xml><?xml version="1.0" encoding="utf-8"?>
<w:webSettings xmlns:r="http://schemas.openxmlformats.org/officeDocument/2006/relationships" xmlns:w="http://schemas.openxmlformats.org/wordprocessingml/2006/main">
  <w:divs>
    <w:div w:id="145250083">
      <w:bodyDiv w:val="1"/>
      <w:marLeft w:val="0"/>
      <w:marRight w:val="0"/>
      <w:marTop w:val="0"/>
      <w:marBottom w:val="0"/>
      <w:divBdr>
        <w:top w:val="none" w:sz="0" w:space="0" w:color="auto"/>
        <w:left w:val="none" w:sz="0" w:space="0" w:color="auto"/>
        <w:bottom w:val="none" w:sz="0" w:space="0" w:color="auto"/>
        <w:right w:val="none" w:sz="0" w:space="0" w:color="auto"/>
      </w:divBdr>
      <w:divsChild>
        <w:div w:id="20914599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1508</Words>
  <Characters>8596</Characters>
  <Application>Microsoft Office Word</Application>
  <DocSecurity>0</DocSecurity>
  <Lines>71</Lines>
  <Paragraphs>20</Paragraphs>
  <ScaleCrop>false</ScaleCrop>
  <Company>Microsoft</Company>
  <LinksUpToDate>false</LinksUpToDate>
  <CharactersWithSpaces>10084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3</cp:revision>
  <dcterms:created xsi:type="dcterms:W3CDTF">2016-12-06T05:28:00Z</dcterms:created>
  <dcterms:modified xsi:type="dcterms:W3CDTF">2016-12-06T05:28:00Z</dcterms:modified>
</cp:coreProperties>
</file>