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331B7E" w:rsidRPr="00331B7E">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8306"/>
            </w:tblGrid>
            <w:tr w:rsidR="00331B7E" w:rsidRPr="00331B7E">
              <w:trPr>
                <w:trHeight w:val="555"/>
                <w:tblCellSpacing w:w="0" w:type="dxa"/>
              </w:trPr>
              <w:tc>
                <w:tcPr>
                  <w:tcW w:w="0" w:type="auto"/>
                  <w:vAlign w:val="center"/>
                  <w:hideMark/>
                </w:tcPr>
                <w:p w:rsidR="00331B7E" w:rsidRPr="00331B7E" w:rsidRDefault="00331B7E" w:rsidP="00331B7E">
                  <w:pPr>
                    <w:widowControl/>
                    <w:spacing w:before="300" w:after="225" w:line="432" w:lineRule="auto"/>
                    <w:jc w:val="center"/>
                    <w:rPr>
                      <w:rFonts w:ascii="Arial" w:eastAsia="宋体" w:hAnsi="Arial" w:cs="Arial"/>
                      <w:b/>
                      <w:bCs/>
                      <w:color w:val="185895"/>
                      <w:kern w:val="0"/>
                      <w:sz w:val="36"/>
                      <w:szCs w:val="36"/>
                    </w:rPr>
                  </w:pPr>
                  <w:r w:rsidRPr="00331B7E">
                    <w:rPr>
                      <w:rFonts w:ascii="Arial" w:eastAsia="宋体" w:hAnsi="Arial" w:cs="Arial"/>
                      <w:b/>
                      <w:bCs/>
                      <w:color w:val="185895"/>
                      <w:kern w:val="0"/>
                      <w:sz w:val="36"/>
                      <w:szCs w:val="36"/>
                    </w:rPr>
                    <w:t>于印发修订《企业会计准则第</w:t>
                  </w:r>
                  <w:r w:rsidRPr="00331B7E">
                    <w:rPr>
                      <w:rFonts w:ascii="Arial" w:eastAsia="宋体" w:hAnsi="Arial" w:cs="Arial"/>
                      <w:b/>
                      <w:bCs/>
                      <w:color w:val="185895"/>
                      <w:kern w:val="0"/>
                      <w:sz w:val="36"/>
                      <w:szCs w:val="36"/>
                    </w:rPr>
                    <w:t>37</w:t>
                  </w:r>
                  <w:r w:rsidRPr="00331B7E">
                    <w:rPr>
                      <w:rFonts w:ascii="Arial" w:eastAsia="宋体" w:hAnsi="Arial" w:cs="Arial"/>
                      <w:b/>
                      <w:bCs/>
                      <w:color w:val="185895"/>
                      <w:kern w:val="0"/>
                      <w:sz w:val="36"/>
                      <w:szCs w:val="36"/>
                    </w:rPr>
                    <w:t>号</w:t>
                  </w:r>
                  <w:r w:rsidRPr="00331B7E">
                    <w:rPr>
                      <w:rFonts w:ascii="Arial" w:eastAsia="宋体" w:hAnsi="Arial" w:cs="Arial"/>
                      <w:b/>
                      <w:bCs/>
                      <w:color w:val="185895"/>
                      <w:kern w:val="0"/>
                      <w:sz w:val="36"/>
                      <w:szCs w:val="36"/>
                    </w:rPr>
                    <w:t>——</w:t>
                  </w:r>
                  <w:r w:rsidRPr="00331B7E">
                    <w:rPr>
                      <w:rFonts w:ascii="Arial" w:eastAsia="宋体" w:hAnsi="Arial" w:cs="Arial"/>
                      <w:b/>
                      <w:bCs/>
                      <w:color w:val="185895"/>
                      <w:kern w:val="0"/>
                      <w:sz w:val="36"/>
                      <w:szCs w:val="36"/>
                    </w:rPr>
                    <w:t>金融工具列报》的通知</w:t>
                  </w:r>
                  <w:r w:rsidRPr="00331B7E">
                    <w:rPr>
                      <w:rFonts w:ascii="Arial" w:eastAsia="宋体" w:hAnsi="Arial" w:cs="Arial"/>
                      <w:b/>
                      <w:bCs/>
                      <w:color w:val="185895"/>
                      <w:kern w:val="0"/>
                      <w:sz w:val="36"/>
                      <w:szCs w:val="36"/>
                    </w:rPr>
                    <w:t xml:space="preserve"> </w:t>
                  </w:r>
                </w:p>
              </w:tc>
            </w:tr>
          </w:tbl>
          <w:p w:rsidR="00331B7E" w:rsidRPr="00331B7E" w:rsidRDefault="00331B7E" w:rsidP="00331B7E">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tblPr>
            <w:tblGrid>
              <w:gridCol w:w="8306"/>
            </w:tblGrid>
            <w:tr w:rsidR="00331B7E" w:rsidRPr="00331B7E">
              <w:trPr>
                <w:trHeight w:val="15"/>
                <w:tblCellSpacing w:w="0" w:type="dxa"/>
              </w:trPr>
              <w:tc>
                <w:tcPr>
                  <w:tcW w:w="0" w:type="auto"/>
                  <w:vAlign w:val="center"/>
                  <w:hideMark/>
                </w:tcPr>
                <w:p w:rsidR="00331B7E" w:rsidRPr="00331B7E" w:rsidRDefault="00331B7E" w:rsidP="00331B7E">
                  <w:pPr>
                    <w:widowControl/>
                    <w:spacing w:line="15" w:lineRule="atLeast"/>
                    <w:jc w:val="left"/>
                    <w:rPr>
                      <w:rFonts w:ascii="Arial" w:eastAsia="宋体" w:hAnsi="Arial" w:cs="Arial"/>
                      <w:kern w:val="0"/>
                      <w:sz w:val="18"/>
                      <w:szCs w:val="18"/>
                    </w:rPr>
                  </w:pPr>
                  <w:r w:rsidRPr="00331B7E">
                    <w:rPr>
                      <w:rFonts w:ascii="Arial" w:eastAsia="宋体" w:hAnsi="Arial" w:cs="Arial"/>
                      <w:kern w:val="0"/>
                      <w:sz w:val="18"/>
                      <w:szCs w:val="18"/>
                    </w:rPr>
                    <w:pict>
                      <v:rect id="_x0000_i1025" style="width:525pt;height:.75pt" o:hrpct="0" o:hralign="center" o:hrstd="t" o:hrnoshade="t" o:hr="t" fillcolor="#99c2e2" stroked="f"/>
                    </w:pict>
                  </w:r>
                </w:p>
              </w:tc>
            </w:tr>
          </w:tbl>
          <w:p w:rsidR="00331B7E" w:rsidRPr="00331B7E" w:rsidRDefault="00331B7E" w:rsidP="00331B7E">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tblPr>
            <w:tblGrid>
              <w:gridCol w:w="8306"/>
            </w:tblGrid>
            <w:tr w:rsidR="00331B7E" w:rsidRPr="00331B7E">
              <w:trPr>
                <w:tblCellSpacing w:w="0" w:type="dxa"/>
              </w:trPr>
              <w:tc>
                <w:tcPr>
                  <w:tcW w:w="0" w:type="auto"/>
                  <w:vAlign w:val="center"/>
                  <w:hideMark/>
                </w:tcPr>
                <w:p w:rsidR="00331B7E" w:rsidRPr="00331B7E" w:rsidRDefault="00331B7E" w:rsidP="00331B7E">
                  <w:pPr>
                    <w:widowControl/>
                    <w:spacing w:line="432" w:lineRule="auto"/>
                    <w:jc w:val="left"/>
                    <w:rPr>
                      <w:rFonts w:ascii="Arial" w:eastAsia="宋体" w:hAnsi="Arial" w:cs="Arial"/>
                      <w:kern w:val="0"/>
                      <w:sz w:val="24"/>
                      <w:szCs w:val="24"/>
                    </w:rPr>
                  </w:pPr>
                </w:p>
              </w:tc>
            </w:tr>
          </w:tbl>
          <w:p w:rsidR="00331B7E" w:rsidRPr="00331B7E" w:rsidRDefault="00331B7E" w:rsidP="00331B7E">
            <w:pPr>
              <w:widowControl/>
              <w:spacing w:line="432" w:lineRule="auto"/>
              <w:jc w:val="left"/>
              <w:rPr>
                <w:rFonts w:ascii="Arial" w:eastAsia="宋体" w:hAnsi="Arial" w:cs="Arial"/>
                <w:kern w:val="0"/>
                <w:sz w:val="18"/>
                <w:szCs w:val="18"/>
              </w:rPr>
            </w:pPr>
          </w:p>
        </w:tc>
      </w:tr>
      <w:tr w:rsidR="00331B7E" w:rsidRPr="00331B7E">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tblPr>
            <w:tblGrid>
              <w:gridCol w:w="8306"/>
            </w:tblGrid>
            <w:tr w:rsidR="00331B7E" w:rsidRPr="00331B7E">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tblPr>
                  <w:tblGrid>
                    <w:gridCol w:w="777"/>
                    <w:gridCol w:w="6283"/>
                  </w:tblGrid>
                  <w:tr w:rsidR="00331B7E" w:rsidRPr="00331B7E">
                    <w:trPr>
                      <w:tblCellSpacing w:w="0" w:type="dxa"/>
                      <w:jc w:val="center"/>
                    </w:trPr>
                    <w:tc>
                      <w:tcPr>
                        <w:tcW w:w="0" w:type="auto"/>
                        <w:gridSpan w:val="2"/>
                        <w:vAlign w:val="center"/>
                        <w:hideMark/>
                      </w:tcPr>
                      <w:p w:rsidR="00331B7E" w:rsidRPr="00331B7E" w:rsidRDefault="00331B7E" w:rsidP="00331B7E">
                        <w:pPr>
                          <w:widowControl/>
                          <w:spacing w:line="432" w:lineRule="auto"/>
                          <w:jc w:val="center"/>
                          <w:rPr>
                            <w:rFonts w:ascii="Arial" w:eastAsia="宋体" w:hAnsi="Arial" w:cs="Arial"/>
                            <w:kern w:val="0"/>
                            <w:sz w:val="24"/>
                            <w:szCs w:val="24"/>
                          </w:rPr>
                        </w:pPr>
                        <w:r w:rsidRPr="00331B7E">
                          <w:rPr>
                            <w:rFonts w:ascii="Arial" w:eastAsia="宋体" w:hAnsi="Arial" w:cs="Arial"/>
                            <w:kern w:val="0"/>
                            <w:sz w:val="24"/>
                            <w:szCs w:val="24"/>
                          </w:rPr>
                          <w:t>财会</w:t>
                        </w:r>
                        <w:r w:rsidRPr="00331B7E">
                          <w:rPr>
                            <w:rFonts w:ascii="Arial" w:eastAsia="宋体" w:hAnsi="Arial" w:cs="Arial"/>
                            <w:kern w:val="0"/>
                            <w:sz w:val="24"/>
                            <w:szCs w:val="24"/>
                          </w:rPr>
                          <w:t>[2014]23</w:t>
                        </w:r>
                        <w:r w:rsidRPr="00331B7E">
                          <w:rPr>
                            <w:rFonts w:ascii="Arial" w:eastAsia="宋体" w:hAnsi="Arial" w:cs="Arial"/>
                            <w:kern w:val="0"/>
                            <w:sz w:val="24"/>
                            <w:szCs w:val="24"/>
                          </w:rPr>
                          <w:t>号</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国务院有关部委、有关直属机构，各省、自治区、直辖市、计划单列市财政厅（局），新疆生产建设兵团财务局，财政部驻各省、自治区、直辖市、计划单列市财政监察专员办事处，有关中央管理企业：</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为了适应社会主义市场经济发展需要，提高企业财务报表列报质量和会计信息透明度，根据《企业会计准则</w:t>
                        </w:r>
                        <w:r w:rsidRPr="00331B7E">
                          <w:rPr>
                            <w:rFonts w:ascii="Arial" w:eastAsia="宋体" w:hAnsi="Arial" w:cs="Arial"/>
                            <w:kern w:val="0"/>
                            <w:sz w:val="24"/>
                            <w:szCs w:val="24"/>
                          </w:rPr>
                          <w:t>——</w:t>
                        </w:r>
                        <w:r w:rsidRPr="00331B7E">
                          <w:rPr>
                            <w:rFonts w:ascii="Arial" w:eastAsia="宋体" w:hAnsi="Arial" w:cs="Arial"/>
                            <w:kern w:val="0"/>
                            <w:sz w:val="24"/>
                            <w:szCs w:val="24"/>
                          </w:rPr>
                          <w:t>基本准则》，我部对《企业会计准则第</w:t>
                        </w:r>
                        <w:r w:rsidRPr="00331B7E">
                          <w:rPr>
                            <w:rFonts w:ascii="Arial" w:eastAsia="宋体" w:hAnsi="Arial" w:cs="Arial"/>
                            <w:kern w:val="0"/>
                            <w:sz w:val="24"/>
                            <w:szCs w:val="24"/>
                          </w:rPr>
                          <w:t>37</w:t>
                        </w:r>
                        <w:r w:rsidRPr="00331B7E">
                          <w:rPr>
                            <w:rFonts w:ascii="Arial" w:eastAsia="宋体" w:hAnsi="Arial" w:cs="Arial"/>
                            <w:kern w:val="0"/>
                            <w:sz w:val="24"/>
                            <w:szCs w:val="24"/>
                          </w:rPr>
                          <w:t>号</w:t>
                        </w:r>
                        <w:r w:rsidRPr="00331B7E">
                          <w:rPr>
                            <w:rFonts w:ascii="Arial" w:eastAsia="宋体" w:hAnsi="Arial" w:cs="Arial"/>
                            <w:kern w:val="0"/>
                            <w:sz w:val="24"/>
                            <w:szCs w:val="24"/>
                          </w:rPr>
                          <w:t>——</w:t>
                        </w:r>
                        <w:r w:rsidRPr="00331B7E">
                          <w:rPr>
                            <w:rFonts w:ascii="Arial" w:eastAsia="宋体" w:hAnsi="Arial" w:cs="Arial"/>
                            <w:kern w:val="0"/>
                            <w:sz w:val="24"/>
                            <w:szCs w:val="24"/>
                          </w:rPr>
                          <w:t>金融工具列报》进行了修订，现予印发，执行企业会计准则的企业应当在</w:t>
                        </w:r>
                        <w:r w:rsidRPr="00331B7E">
                          <w:rPr>
                            <w:rFonts w:ascii="Arial" w:eastAsia="宋体" w:hAnsi="Arial" w:cs="Arial"/>
                            <w:kern w:val="0"/>
                            <w:sz w:val="24"/>
                            <w:szCs w:val="24"/>
                          </w:rPr>
                          <w:t>2014</w:t>
                        </w:r>
                        <w:r w:rsidRPr="00331B7E">
                          <w:rPr>
                            <w:rFonts w:ascii="Arial" w:eastAsia="宋体" w:hAnsi="Arial" w:cs="Arial"/>
                            <w:kern w:val="0"/>
                            <w:sz w:val="24"/>
                            <w:szCs w:val="24"/>
                          </w:rPr>
                          <w:t>年年度及以后期间的财务报告中按照本准则要求对金融工具进行列报。我部于</w:t>
                        </w:r>
                        <w:r w:rsidRPr="00331B7E">
                          <w:rPr>
                            <w:rFonts w:ascii="Arial" w:eastAsia="宋体" w:hAnsi="Arial" w:cs="Arial"/>
                            <w:kern w:val="0"/>
                            <w:sz w:val="24"/>
                            <w:szCs w:val="24"/>
                          </w:rPr>
                          <w:t>2006</w:t>
                        </w:r>
                        <w:r w:rsidRPr="00331B7E">
                          <w:rPr>
                            <w:rFonts w:ascii="Arial" w:eastAsia="宋体" w:hAnsi="Arial" w:cs="Arial"/>
                            <w:kern w:val="0"/>
                            <w:sz w:val="24"/>
                            <w:szCs w:val="24"/>
                          </w:rPr>
                          <w:t>年</w:t>
                        </w:r>
                        <w:r w:rsidRPr="00331B7E">
                          <w:rPr>
                            <w:rFonts w:ascii="Arial" w:eastAsia="宋体" w:hAnsi="Arial" w:cs="Arial"/>
                            <w:kern w:val="0"/>
                            <w:sz w:val="24"/>
                            <w:szCs w:val="24"/>
                          </w:rPr>
                          <w:t>2</w:t>
                        </w:r>
                        <w:r w:rsidRPr="00331B7E">
                          <w:rPr>
                            <w:rFonts w:ascii="Arial" w:eastAsia="宋体" w:hAnsi="Arial" w:cs="Arial"/>
                            <w:kern w:val="0"/>
                            <w:sz w:val="24"/>
                            <w:szCs w:val="24"/>
                          </w:rPr>
                          <w:t>月</w:t>
                        </w:r>
                        <w:r w:rsidRPr="00331B7E">
                          <w:rPr>
                            <w:rFonts w:ascii="Arial" w:eastAsia="宋体" w:hAnsi="Arial" w:cs="Arial"/>
                            <w:kern w:val="0"/>
                            <w:sz w:val="24"/>
                            <w:szCs w:val="24"/>
                          </w:rPr>
                          <w:t>25</w:t>
                        </w:r>
                        <w:r w:rsidRPr="00331B7E">
                          <w:rPr>
                            <w:rFonts w:ascii="Arial" w:eastAsia="宋体" w:hAnsi="Arial" w:cs="Arial"/>
                            <w:kern w:val="0"/>
                            <w:sz w:val="24"/>
                            <w:szCs w:val="24"/>
                          </w:rPr>
                          <w:t>日发布的《财政部关于印发〈企业会计准则第</w:t>
                        </w:r>
                        <w:r w:rsidRPr="00331B7E">
                          <w:rPr>
                            <w:rFonts w:ascii="Arial" w:eastAsia="宋体" w:hAnsi="Arial" w:cs="Arial"/>
                            <w:kern w:val="0"/>
                            <w:sz w:val="24"/>
                            <w:szCs w:val="24"/>
                          </w:rPr>
                          <w:t>1</w:t>
                        </w:r>
                        <w:r w:rsidRPr="00331B7E">
                          <w:rPr>
                            <w:rFonts w:ascii="Arial" w:eastAsia="宋体" w:hAnsi="Arial" w:cs="Arial"/>
                            <w:kern w:val="0"/>
                            <w:sz w:val="24"/>
                            <w:szCs w:val="24"/>
                          </w:rPr>
                          <w:t>号</w:t>
                        </w:r>
                        <w:r w:rsidRPr="00331B7E">
                          <w:rPr>
                            <w:rFonts w:ascii="Arial" w:eastAsia="宋体" w:hAnsi="Arial" w:cs="Arial"/>
                            <w:kern w:val="0"/>
                            <w:sz w:val="24"/>
                            <w:szCs w:val="24"/>
                          </w:rPr>
                          <w:t>——</w:t>
                        </w:r>
                        <w:r w:rsidRPr="00331B7E">
                          <w:rPr>
                            <w:rFonts w:ascii="Arial" w:eastAsia="宋体" w:hAnsi="Arial" w:cs="Arial"/>
                            <w:kern w:val="0"/>
                            <w:sz w:val="24"/>
                            <w:szCs w:val="24"/>
                          </w:rPr>
                          <w:t>存货〉等</w:t>
                        </w:r>
                        <w:r w:rsidRPr="00331B7E">
                          <w:rPr>
                            <w:rFonts w:ascii="Arial" w:eastAsia="宋体" w:hAnsi="Arial" w:cs="Arial"/>
                            <w:kern w:val="0"/>
                            <w:sz w:val="24"/>
                            <w:szCs w:val="24"/>
                          </w:rPr>
                          <w:t>38</w:t>
                        </w:r>
                        <w:r w:rsidRPr="00331B7E">
                          <w:rPr>
                            <w:rFonts w:ascii="Arial" w:eastAsia="宋体" w:hAnsi="Arial" w:cs="Arial"/>
                            <w:kern w:val="0"/>
                            <w:sz w:val="24"/>
                            <w:szCs w:val="24"/>
                          </w:rPr>
                          <w:t>项具体准则的通知》（财会〔</w:t>
                        </w:r>
                        <w:r w:rsidRPr="00331B7E">
                          <w:rPr>
                            <w:rFonts w:ascii="Arial" w:eastAsia="宋体" w:hAnsi="Arial" w:cs="Arial"/>
                            <w:kern w:val="0"/>
                            <w:sz w:val="24"/>
                            <w:szCs w:val="24"/>
                          </w:rPr>
                          <w:t>2006</w:t>
                        </w:r>
                        <w:r w:rsidRPr="00331B7E">
                          <w:rPr>
                            <w:rFonts w:ascii="Arial" w:eastAsia="宋体" w:hAnsi="Arial" w:cs="Arial"/>
                            <w:kern w:val="0"/>
                            <w:sz w:val="24"/>
                            <w:szCs w:val="24"/>
                          </w:rPr>
                          <w:t>〕</w:t>
                        </w:r>
                        <w:r w:rsidRPr="00331B7E">
                          <w:rPr>
                            <w:rFonts w:ascii="Arial" w:eastAsia="宋体" w:hAnsi="Arial" w:cs="Arial"/>
                            <w:kern w:val="0"/>
                            <w:sz w:val="24"/>
                            <w:szCs w:val="24"/>
                          </w:rPr>
                          <w:t>3</w:t>
                        </w:r>
                        <w:r w:rsidRPr="00331B7E">
                          <w:rPr>
                            <w:rFonts w:ascii="Arial" w:eastAsia="宋体" w:hAnsi="Arial" w:cs="Arial"/>
                            <w:kern w:val="0"/>
                            <w:sz w:val="24"/>
                            <w:szCs w:val="24"/>
                          </w:rPr>
                          <w:t>号）中的《企业会计准则第</w:t>
                        </w:r>
                        <w:r w:rsidRPr="00331B7E">
                          <w:rPr>
                            <w:rFonts w:ascii="Arial" w:eastAsia="宋体" w:hAnsi="Arial" w:cs="Arial"/>
                            <w:kern w:val="0"/>
                            <w:sz w:val="24"/>
                            <w:szCs w:val="24"/>
                          </w:rPr>
                          <w:t>37</w:t>
                        </w:r>
                        <w:r w:rsidRPr="00331B7E">
                          <w:rPr>
                            <w:rFonts w:ascii="Arial" w:eastAsia="宋体" w:hAnsi="Arial" w:cs="Arial"/>
                            <w:kern w:val="0"/>
                            <w:sz w:val="24"/>
                            <w:szCs w:val="24"/>
                          </w:rPr>
                          <w:t>号</w:t>
                        </w:r>
                        <w:r w:rsidRPr="00331B7E">
                          <w:rPr>
                            <w:rFonts w:ascii="Arial" w:eastAsia="宋体" w:hAnsi="Arial" w:cs="Arial"/>
                            <w:kern w:val="0"/>
                            <w:sz w:val="24"/>
                            <w:szCs w:val="24"/>
                          </w:rPr>
                          <w:t>——</w:t>
                        </w:r>
                        <w:r w:rsidRPr="00331B7E">
                          <w:rPr>
                            <w:rFonts w:ascii="Arial" w:eastAsia="宋体" w:hAnsi="Arial" w:cs="Arial"/>
                            <w:kern w:val="0"/>
                            <w:sz w:val="24"/>
                            <w:szCs w:val="24"/>
                          </w:rPr>
                          <w:t>金融工具列报》同时废止。</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执行中有何问题，请及时反馈我部。</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附件：企业会计准则第</w:t>
                        </w:r>
                        <w:r w:rsidRPr="00331B7E">
                          <w:rPr>
                            <w:rFonts w:ascii="Arial" w:eastAsia="宋体" w:hAnsi="Arial" w:cs="Arial"/>
                            <w:kern w:val="0"/>
                            <w:sz w:val="24"/>
                            <w:szCs w:val="24"/>
                          </w:rPr>
                          <w:t>37</w:t>
                        </w:r>
                        <w:r w:rsidRPr="00331B7E">
                          <w:rPr>
                            <w:rFonts w:ascii="Arial" w:eastAsia="宋体" w:hAnsi="Arial" w:cs="Arial"/>
                            <w:kern w:val="0"/>
                            <w:sz w:val="24"/>
                            <w:szCs w:val="24"/>
                          </w:rPr>
                          <w:t>号</w:t>
                        </w:r>
                        <w:r w:rsidRPr="00331B7E">
                          <w:rPr>
                            <w:rFonts w:ascii="Arial" w:eastAsia="宋体" w:hAnsi="Arial" w:cs="Arial"/>
                            <w:kern w:val="0"/>
                            <w:sz w:val="24"/>
                            <w:szCs w:val="24"/>
                          </w:rPr>
                          <w:t>——</w:t>
                        </w:r>
                        <w:r w:rsidRPr="00331B7E">
                          <w:rPr>
                            <w:rFonts w:ascii="Arial" w:eastAsia="宋体" w:hAnsi="Arial" w:cs="Arial"/>
                            <w:kern w:val="0"/>
                            <w:sz w:val="24"/>
                            <w:szCs w:val="24"/>
                          </w:rPr>
                          <w:t>金融工具列报</w:t>
                        </w:r>
                      </w:p>
                      <w:p w:rsidR="00331B7E" w:rsidRPr="00331B7E" w:rsidRDefault="00331B7E" w:rsidP="00331B7E">
                        <w:pPr>
                          <w:widowControl/>
                          <w:spacing w:line="432" w:lineRule="auto"/>
                          <w:jc w:val="right"/>
                          <w:rPr>
                            <w:rFonts w:ascii="Arial" w:eastAsia="宋体" w:hAnsi="Arial" w:cs="Arial"/>
                            <w:kern w:val="0"/>
                            <w:sz w:val="24"/>
                            <w:szCs w:val="24"/>
                          </w:rPr>
                        </w:pPr>
                        <w:r w:rsidRPr="00331B7E">
                          <w:rPr>
                            <w:rFonts w:ascii="Arial" w:eastAsia="宋体" w:hAnsi="Arial" w:cs="Arial"/>
                            <w:kern w:val="0"/>
                            <w:sz w:val="24"/>
                            <w:szCs w:val="24"/>
                          </w:rPr>
                          <w:t xml:space="preserve">　　财政部</w:t>
                        </w:r>
                      </w:p>
                      <w:p w:rsidR="00331B7E" w:rsidRPr="00331B7E" w:rsidRDefault="00331B7E" w:rsidP="00331B7E">
                        <w:pPr>
                          <w:widowControl/>
                          <w:spacing w:line="432" w:lineRule="auto"/>
                          <w:jc w:val="right"/>
                          <w:rPr>
                            <w:rFonts w:ascii="Arial" w:eastAsia="宋体" w:hAnsi="Arial" w:cs="Arial"/>
                            <w:kern w:val="0"/>
                            <w:sz w:val="24"/>
                            <w:szCs w:val="24"/>
                          </w:rPr>
                        </w:pPr>
                        <w:r w:rsidRPr="00331B7E">
                          <w:rPr>
                            <w:rFonts w:ascii="Arial" w:eastAsia="宋体" w:hAnsi="Arial" w:cs="Arial"/>
                            <w:kern w:val="0"/>
                            <w:sz w:val="24"/>
                            <w:szCs w:val="24"/>
                          </w:rPr>
                          <w:t xml:space="preserve">　　</w:t>
                        </w:r>
                        <w:r w:rsidRPr="00331B7E">
                          <w:rPr>
                            <w:rFonts w:ascii="Arial" w:eastAsia="宋体" w:hAnsi="Arial" w:cs="Arial"/>
                            <w:kern w:val="0"/>
                            <w:sz w:val="24"/>
                            <w:szCs w:val="24"/>
                          </w:rPr>
                          <w:t>2014</w:t>
                        </w:r>
                        <w:r w:rsidRPr="00331B7E">
                          <w:rPr>
                            <w:rFonts w:ascii="Arial" w:eastAsia="宋体" w:hAnsi="Arial" w:cs="Arial"/>
                            <w:kern w:val="0"/>
                            <w:sz w:val="24"/>
                            <w:szCs w:val="24"/>
                          </w:rPr>
                          <w:t>年</w:t>
                        </w:r>
                        <w:r w:rsidRPr="00331B7E">
                          <w:rPr>
                            <w:rFonts w:ascii="Arial" w:eastAsia="宋体" w:hAnsi="Arial" w:cs="Arial"/>
                            <w:kern w:val="0"/>
                            <w:sz w:val="24"/>
                            <w:szCs w:val="24"/>
                          </w:rPr>
                          <w:t>6</w:t>
                        </w:r>
                        <w:r w:rsidRPr="00331B7E">
                          <w:rPr>
                            <w:rFonts w:ascii="Arial" w:eastAsia="宋体" w:hAnsi="Arial" w:cs="Arial"/>
                            <w:kern w:val="0"/>
                            <w:sz w:val="24"/>
                            <w:szCs w:val="24"/>
                          </w:rPr>
                          <w:t>月</w:t>
                        </w:r>
                        <w:r w:rsidRPr="00331B7E">
                          <w:rPr>
                            <w:rFonts w:ascii="Arial" w:eastAsia="宋体" w:hAnsi="Arial" w:cs="Arial"/>
                            <w:kern w:val="0"/>
                            <w:sz w:val="24"/>
                            <w:szCs w:val="24"/>
                          </w:rPr>
                          <w:t>20</w:t>
                        </w:r>
                        <w:r w:rsidRPr="00331B7E">
                          <w:rPr>
                            <w:rFonts w:ascii="Arial" w:eastAsia="宋体" w:hAnsi="Arial" w:cs="Arial"/>
                            <w:kern w:val="0"/>
                            <w:sz w:val="24"/>
                            <w:szCs w:val="24"/>
                          </w:rPr>
                          <w:t>日</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附件：</w:t>
                        </w:r>
                      </w:p>
                      <w:p w:rsidR="00331B7E" w:rsidRPr="00331B7E" w:rsidRDefault="00331B7E" w:rsidP="00331B7E">
                        <w:pPr>
                          <w:widowControl/>
                          <w:spacing w:line="432" w:lineRule="auto"/>
                          <w:jc w:val="center"/>
                          <w:rPr>
                            <w:rFonts w:ascii="Arial" w:eastAsia="宋体" w:hAnsi="Arial" w:cs="Arial"/>
                            <w:kern w:val="0"/>
                            <w:sz w:val="24"/>
                            <w:szCs w:val="24"/>
                          </w:rPr>
                        </w:pPr>
                        <w:r w:rsidRPr="00331B7E">
                          <w:rPr>
                            <w:rFonts w:ascii="Arial" w:eastAsia="宋体" w:hAnsi="Arial" w:cs="Arial"/>
                            <w:b/>
                            <w:bCs/>
                            <w:kern w:val="0"/>
                            <w:sz w:val="24"/>
                            <w:szCs w:val="24"/>
                          </w:rPr>
                          <w:t>企业会计准则第</w:t>
                        </w:r>
                        <w:r w:rsidRPr="00331B7E">
                          <w:rPr>
                            <w:rFonts w:ascii="Arial" w:eastAsia="宋体" w:hAnsi="Arial" w:cs="Arial"/>
                            <w:b/>
                            <w:bCs/>
                            <w:kern w:val="0"/>
                            <w:sz w:val="24"/>
                            <w:szCs w:val="24"/>
                          </w:rPr>
                          <w:t>37</w:t>
                        </w:r>
                        <w:r w:rsidRPr="00331B7E">
                          <w:rPr>
                            <w:rFonts w:ascii="Arial" w:eastAsia="宋体" w:hAnsi="Arial" w:cs="Arial"/>
                            <w:b/>
                            <w:bCs/>
                            <w:kern w:val="0"/>
                            <w:sz w:val="24"/>
                            <w:szCs w:val="24"/>
                          </w:rPr>
                          <w:t>号</w:t>
                        </w:r>
                        <w:r w:rsidRPr="00331B7E">
                          <w:rPr>
                            <w:rFonts w:ascii="Arial" w:eastAsia="宋体" w:hAnsi="Arial" w:cs="Arial"/>
                            <w:b/>
                            <w:bCs/>
                            <w:kern w:val="0"/>
                            <w:sz w:val="24"/>
                            <w:szCs w:val="24"/>
                          </w:rPr>
                          <w:t>——</w:t>
                        </w:r>
                        <w:r w:rsidRPr="00331B7E">
                          <w:rPr>
                            <w:rFonts w:ascii="Arial" w:eastAsia="宋体" w:hAnsi="Arial" w:cs="Arial"/>
                            <w:b/>
                            <w:bCs/>
                            <w:kern w:val="0"/>
                            <w:sz w:val="24"/>
                            <w:szCs w:val="24"/>
                          </w:rPr>
                          <w:t>金融工具列报</w:t>
                        </w:r>
                      </w:p>
                      <w:p w:rsidR="00331B7E" w:rsidRPr="00331B7E" w:rsidRDefault="00331B7E" w:rsidP="00331B7E">
                        <w:pPr>
                          <w:widowControl/>
                          <w:spacing w:line="432" w:lineRule="auto"/>
                          <w:jc w:val="center"/>
                          <w:rPr>
                            <w:rFonts w:ascii="Arial" w:eastAsia="宋体" w:hAnsi="Arial" w:cs="Arial"/>
                            <w:kern w:val="0"/>
                            <w:sz w:val="24"/>
                            <w:szCs w:val="24"/>
                          </w:rPr>
                        </w:pPr>
                        <w:r w:rsidRPr="00331B7E">
                          <w:rPr>
                            <w:rFonts w:ascii="Arial" w:eastAsia="宋体" w:hAnsi="Arial" w:cs="Arial"/>
                            <w:b/>
                            <w:bCs/>
                            <w:kern w:val="0"/>
                            <w:sz w:val="24"/>
                            <w:szCs w:val="24"/>
                          </w:rPr>
                          <w:t>第一章</w:t>
                        </w:r>
                        <w:r w:rsidRPr="00331B7E">
                          <w:rPr>
                            <w:rFonts w:ascii="Arial" w:eastAsia="宋体" w:hAnsi="Arial" w:cs="Arial"/>
                            <w:b/>
                            <w:bCs/>
                            <w:kern w:val="0"/>
                            <w:sz w:val="24"/>
                            <w:szCs w:val="24"/>
                          </w:rPr>
                          <w:t xml:space="preserve"> </w:t>
                        </w:r>
                        <w:r w:rsidRPr="00331B7E">
                          <w:rPr>
                            <w:rFonts w:ascii="Arial" w:eastAsia="宋体" w:hAnsi="Arial" w:cs="Arial"/>
                            <w:b/>
                            <w:bCs/>
                            <w:kern w:val="0"/>
                            <w:sz w:val="24"/>
                            <w:szCs w:val="24"/>
                          </w:rPr>
                          <w:t>总则</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第一条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为了规范金融工具的列报，根据《企业会计准则</w:t>
                        </w:r>
                        <w:r w:rsidRPr="00331B7E">
                          <w:rPr>
                            <w:rFonts w:ascii="Arial" w:eastAsia="宋体" w:hAnsi="Arial" w:cs="Arial"/>
                            <w:kern w:val="0"/>
                            <w:sz w:val="24"/>
                            <w:szCs w:val="24"/>
                          </w:rPr>
                          <w:t>——</w:t>
                        </w:r>
                        <w:r w:rsidRPr="00331B7E">
                          <w:rPr>
                            <w:rFonts w:ascii="Arial" w:eastAsia="宋体" w:hAnsi="Arial" w:cs="Arial"/>
                            <w:kern w:val="0"/>
                            <w:sz w:val="24"/>
                            <w:szCs w:val="24"/>
                          </w:rPr>
                          <w:t>基</w:t>
                        </w:r>
                        <w:r w:rsidRPr="00331B7E">
                          <w:rPr>
                            <w:rFonts w:ascii="Arial" w:eastAsia="宋体" w:hAnsi="Arial" w:cs="Arial"/>
                            <w:kern w:val="0"/>
                            <w:sz w:val="24"/>
                            <w:szCs w:val="24"/>
                          </w:rPr>
                          <w:lastRenderedPageBreak/>
                          <w:t>本准则》，制定本准则。</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金融工具列报，包括金融工具列示和金融工具披露。</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第二条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金融工具信息的列报，应当有助于财务报表使用者了解发行方对发行的金融工具如何进行分类、计量和列示，并就金融工具对企业财务状况和经营成果影响的重要程度、金融工具使企业在报告期间和</w:t>
                        </w:r>
                        <w:proofErr w:type="gramStart"/>
                        <w:r w:rsidRPr="00331B7E">
                          <w:rPr>
                            <w:rFonts w:ascii="Arial" w:eastAsia="宋体" w:hAnsi="Arial" w:cs="Arial"/>
                            <w:kern w:val="0"/>
                            <w:sz w:val="24"/>
                            <w:szCs w:val="24"/>
                          </w:rPr>
                          <w:t>期末所</w:t>
                        </w:r>
                        <w:proofErr w:type="gramEnd"/>
                        <w:r w:rsidRPr="00331B7E">
                          <w:rPr>
                            <w:rFonts w:ascii="Arial" w:eastAsia="宋体" w:hAnsi="Arial" w:cs="Arial"/>
                            <w:kern w:val="0"/>
                            <w:sz w:val="24"/>
                            <w:szCs w:val="24"/>
                          </w:rPr>
                          <w:t>面临的风险的性质和程度，以及企业如何管理这些风险</w:t>
                        </w:r>
                        <w:proofErr w:type="gramStart"/>
                        <w:r w:rsidRPr="00331B7E">
                          <w:rPr>
                            <w:rFonts w:ascii="Arial" w:eastAsia="宋体" w:hAnsi="Arial" w:cs="Arial"/>
                            <w:kern w:val="0"/>
                            <w:sz w:val="24"/>
                            <w:szCs w:val="24"/>
                          </w:rPr>
                          <w:t>作出</w:t>
                        </w:r>
                        <w:proofErr w:type="gramEnd"/>
                        <w:r w:rsidRPr="00331B7E">
                          <w:rPr>
                            <w:rFonts w:ascii="Arial" w:eastAsia="宋体" w:hAnsi="Arial" w:cs="Arial"/>
                            <w:kern w:val="0"/>
                            <w:sz w:val="24"/>
                            <w:szCs w:val="24"/>
                          </w:rPr>
                          <w:t>合理评价。</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第三条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除下列特殊情况外，本准则适用于所有企业各种类型的金融工具：</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（一）企业按照《企业会计准则第</w:t>
                        </w:r>
                        <w:r w:rsidRPr="00331B7E">
                          <w:rPr>
                            <w:rFonts w:ascii="Arial" w:eastAsia="宋体" w:hAnsi="Arial" w:cs="Arial"/>
                            <w:kern w:val="0"/>
                            <w:sz w:val="24"/>
                            <w:szCs w:val="24"/>
                          </w:rPr>
                          <w:t>2</w:t>
                        </w:r>
                        <w:r w:rsidRPr="00331B7E">
                          <w:rPr>
                            <w:rFonts w:ascii="Arial" w:eastAsia="宋体" w:hAnsi="Arial" w:cs="Arial"/>
                            <w:kern w:val="0"/>
                            <w:sz w:val="24"/>
                            <w:szCs w:val="24"/>
                          </w:rPr>
                          <w:t>号</w:t>
                        </w:r>
                        <w:r w:rsidRPr="00331B7E">
                          <w:rPr>
                            <w:rFonts w:ascii="Arial" w:eastAsia="宋体" w:hAnsi="Arial" w:cs="Arial"/>
                            <w:kern w:val="0"/>
                            <w:sz w:val="24"/>
                            <w:szCs w:val="24"/>
                          </w:rPr>
                          <w:t>——</w:t>
                        </w:r>
                        <w:r w:rsidRPr="00331B7E">
                          <w:rPr>
                            <w:rFonts w:ascii="Arial" w:eastAsia="宋体" w:hAnsi="Arial" w:cs="Arial"/>
                            <w:kern w:val="0"/>
                            <w:sz w:val="24"/>
                            <w:szCs w:val="24"/>
                          </w:rPr>
                          <w:t>长期股权投资》、《企业会计准则第</w:t>
                        </w:r>
                        <w:r w:rsidRPr="00331B7E">
                          <w:rPr>
                            <w:rFonts w:ascii="Arial" w:eastAsia="宋体" w:hAnsi="Arial" w:cs="Arial"/>
                            <w:kern w:val="0"/>
                            <w:sz w:val="24"/>
                            <w:szCs w:val="24"/>
                          </w:rPr>
                          <w:t>33</w:t>
                        </w:r>
                        <w:r w:rsidRPr="00331B7E">
                          <w:rPr>
                            <w:rFonts w:ascii="Arial" w:eastAsia="宋体" w:hAnsi="Arial" w:cs="Arial"/>
                            <w:kern w:val="0"/>
                            <w:sz w:val="24"/>
                            <w:szCs w:val="24"/>
                          </w:rPr>
                          <w:t>号</w:t>
                        </w:r>
                        <w:r w:rsidRPr="00331B7E">
                          <w:rPr>
                            <w:rFonts w:ascii="Arial" w:eastAsia="宋体" w:hAnsi="Arial" w:cs="Arial"/>
                            <w:kern w:val="0"/>
                            <w:sz w:val="24"/>
                            <w:szCs w:val="24"/>
                          </w:rPr>
                          <w:t>——</w:t>
                        </w:r>
                        <w:r w:rsidRPr="00331B7E">
                          <w:rPr>
                            <w:rFonts w:ascii="Arial" w:eastAsia="宋体" w:hAnsi="Arial" w:cs="Arial"/>
                            <w:kern w:val="0"/>
                            <w:sz w:val="24"/>
                            <w:szCs w:val="24"/>
                          </w:rPr>
                          <w:t>合并财务报表》和《企业会计准则第</w:t>
                        </w:r>
                        <w:r w:rsidRPr="00331B7E">
                          <w:rPr>
                            <w:rFonts w:ascii="Arial" w:eastAsia="宋体" w:hAnsi="Arial" w:cs="Arial"/>
                            <w:kern w:val="0"/>
                            <w:sz w:val="24"/>
                            <w:szCs w:val="24"/>
                          </w:rPr>
                          <w:t>40</w:t>
                        </w:r>
                        <w:r w:rsidRPr="00331B7E">
                          <w:rPr>
                            <w:rFonts w:ascii="Arial" w:eastAsia="宋体" w:hAnsi="Arial" w:cs="Arial"/>
                            <w:kern w:val="0"/>
                            <w:sz w:val="24"/>
                            <w:szCs w:val="24"/>
                          </w:rPr>
                          <w:t>号</w:t>
                        </w:r>
                        <w:r w:rsidRPr="00331B7E">
                          <w:rPr>
                            <w:rFonts w:ascii="Arial" w:eastAsia="宋体" w:hAnsi="Arial" w:cs="Arial"/>
                            <w:kern w:val="0"/>
                            <w:sz w:val="24"/>
                            <w:szCs w:val="24"/>
                          </w:rPr>
                          <w:t>——</w:t>
                        </w:r>
                        <w:r w:rsidRPr="00331B7E">
                          <w:rPr>
                            <w:rFonts w:ascii="Arial" w:eastAsia="宋体" w:hAnsi="Arial" w:cs="Arial"/>
                            <w:kern w:val="0"/>
                            <w:sz w:val="24"/>
                            <w:szCs w:val="24"/>
                          </w:rPr>
                          <w:t>合营安排》规定核算的对子公司、合营安排和联营企业的投资的披露，适用《企业会计准则第</w:t>
                        </w:r>
                        <w:r w:rsidRPr="00331B7E">
                          <w:rPr>
                            <w:rFonts w:ascii="Arial" w:eastAsia="宋体" w:hAnsi="Arial" w:cs="Arial"/>
                            <w:kern w:val="0"/>
                            <w:sz w:val="24"/>
                            <w:szCs w:val="24"/>
                          </w:rPr>
                          <w:t>41</w:t>
                        </w:r>
                        <w:r w:rsidRPr="00331B7E">
                          <w:rPr>
                            <w:rFonts w:ascii="Arial" w:eastAsia="宋体" w:hAnsi="Arial" w:cs="Arial"/>
                            <w:kern w:val="0"/>
                            <w:sz w:val="24"/>
                            <w:szCs w:val="24"/>
                          </w:rPr>
                          <w:t>号</w:t>
                        </w:r>
                        <w:r w:rsidRPr="00331B7E">
                          <w:rPr>
                            <w:rFonts w:ascii="Arial" w:eastAsia="宋体" w:hAnsi="Arial" w:cs="Arial"/>
                            <w:kern w:val="0"/>
                            <w:sz w:val="24"/>
                            <w:szCs w:val="24"/>
                          </w:rPr>
                          <w:t>——</w:t>
                        </w:r>
                        <w:r w:rsidRPr="00331B7E">
                          <w:rPr>
                            <w:rFonts w:ascii="Arial" w:eastAsia="宋体" w:hAnsi="Arial" w:cs="Arial"/>
                            <w:kern w:val="0"/>
                            <w:sz w:val="24"/>
                            <w:szCs w:val="24"/>
                          </w:rPr>
                          <w:t>在其他主体中权益的披露》。但以下情况除外：</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w:t>
                        </w:r>
                        <w:r w:rsidRPr="00331B7E">
                          <w:rPr>
                            <w:rFonts w:ascii="Arial" w:eastAsia="宋体" w:hAnsi="Arial" w:cs="Arial"/>
                            <w:kern w:val="0"/>
                            <w:sz w:val="24"/>
                            <w:szCs w:val="24"/>
                          </w:rPr>
                          <w:t>1</w:t>
                        </w:r>
                        <w:r w:rsidRPr="00331B7E">
                          <w:rPr>
                            <w:rFonts w:ascii="Arial" w:eastAsia="宋体" w:hAnsi="Arial" w:cs="Arial"/>
                            <w:kern w:val="0"/>
                            <w:sz w:val="24"/>
                            <w:szCs w:val="24"/>
                          </w:rPr>
                          <w:t>．与在子公司、合营安排或联营企业中的权益相联系的衍生工具，适用本准则。</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w:t>
                        </w:r>
                        <w:r w:rsidRPr="00331B7E">
                          <w:rPr>
                            <w:rFonts w:ascii="Arial" w:eastAsia="宋体" w:hAnsi="Arial" w:cs="Arial"/>
                            <w:kern w:val="0"/>
                            <w:sz w:val="24"/>
                            <w:szCs w:val="24"/>
                          </w:rPr>
                          <w:t>2</w:t>
                        </w:r>
                        <w:r w:rsidRPr="00331B7E">
                          <w:rPr>
                            <w:rFonts w:ascii="Arial" w:eastAsia="宋体" w:hAnsi="Arial" w:cs="Arial"/>
                            <w:kern w:val="0"/>
                            <w:sz w:val="24"/>
                            <w:szCs w:val="24"/>
                          </w:rPr>
                          <w:t>．符合《企业会计准则第</w:t>
                        </w:r>
                        <w:r w:rsidRPr="00331B7E">
                          <w:rPr>
                            <w:rFonts w:ascii="Arial" w:eastAsia="宋体" w:hAnsi="Arial" w:cs="Arial"/>
                            <w:kern w:val="0"/>
                            <w:sz w:val="24"/>
                            <w:szCs w:val="24"/>
                          </w:rPr>
                          <w:t>33</w:t>
                        </w:r>
                        <w:r w:rsidRPr="00331B7E">
                          <w:rPr>
                            <w:rFonts w:ascii="Arial" w:eastAsia="宋体" w:hAnsi="Arial" w:cs="Arial"/>
                            <w:kern w:val="0"/>
                            <w:sz w:val="24"/>
                            <w:szCs w:val="24"/>
                          </w:rPr>
                          <w:t>号</w:t>
                        </w:r>
                        <w:r w:rsidRPr="00331B7E">
                          <w:rPr>
                            <w:rFonts w:ascii="Arial" w:eastAsia="宋体" w:hAnsi="Arial" w:cs="Arial"/>
                            <w:kern w:val="0"/>
                            <w:sz w:val="24"/>
                            <w:szCs w:val="24"/>
                          </w:rPr>
                          <w:t>——</w:t>
                        </w:r>
                        <w:r w:rsidRPr="00331B7E">
                          <w:rPr>
                            <w:rFonts w:ascii="Arial" w:eastAsia="宋体" w:hAnsi="Arial" w:cs="Arial"/>
                            <w:kern w:val="0"/>
                            <w:sz w:val="24"/>
                            <w:szCs w:val="24"/>
                          </w:rPr>
                          <w:t>合并财务报表》有关投资性主体定义的企业，其根据该准则规定对子公司以公允价值计量且其变动计入当期损益的投资，适用本准则。</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w:t>
                        </w:r>
                        <w:r w:rsidRPr="00331B7E">
                          <w:rPr>
                            <w:rFonts w:ascii="Arial" w:eastAsia="宋体" w:hAnsi="Arial" w:cs="Arial"/>
                            <w:kern w:val="0"/>
                            <w:sz w:val="24"/>
                            <w:szCs w:val="24"/>
                          </w:rPr>
                          <w:t>3</w:t>
                        </w:r>
                        <w:r w:rsidRPr="00331B7E">
                          <w:rPr>
                            <w:rFonts w:ascii="Arial" w:eastAsia="宋体" w:hAnsi="Arial" w:cs="Arial"/>
                            <w:kern w:val="0"/>
                            <w:sz w:val="24"/>
                            <w:szCs w:val="24"/>
                          </w:rPr>
                          <w:t>．根据《企业会计准则第</w:t>
                        </w:r>
                        <w:r w:rsidRPr="00331B7E">
                          <w:rPr>
                            <w:rFonts w:ascii="Arial" w:eastAsia="宋体" w:hAnsi="Arial" w:cs="Arial"/>
                            <w:kern w:val="0"/>
                            <w:sz w:val="24"/>
                            <w:szCs w:val="24"/>
                          </w:rPr>
                          <w:t>2</w:t>
                        </w:r>
                        <w:r w:rsidRPr="00331B7E">
                          <w:rPr>
                            <w:rFonts w:ascii="Arial" w:eastAsia="宋体" w:hAnsi="Arial" w:cs="Arial"/>
                            <w:kern w:val="0"/>
                            <w:sz w:val="24"/>
                            <w:szCs w:val="24"/>
                          </w:rPr>
                          <w:t>号</w:t>
                        </w:r>
                        <w:r w:rsidRPr="00331B7E">
                          <w:rPr>
                            <w:rFonts w:ascii="Arial" w:eastAsia="宋体" w:hAnsi="Arial" w:cs="Arial"/>
                            <w:kern w:val="0"/>
                            <w:sz w:val="24"/>
                            <w:szCs w:val="24"/>
                          </w:rPr>
                          <w:t>——</w:t>
                        </w:r>
                        <w:r w:rsidRPr="00331B7E">
                          <w:rPr>
                            <w:rFonts w:ascii="Arial" w:eastAsia="宋体" w:hAnsi="Arial" w:cs="Arial"/>
                            <w:kern w:val="0"/>
                            <w:sz w:val="24"/>
                            <w:szCs w:val="24"/>
                          </w:rPr>
                          <w:t>长期股权投资》准则的规定，按照《企业会计准则第</w:t>
                        </w:r>
                        <w:r w:rsidRPr="00331B7E">
                          <w:rPr>
                            <w:rFonts w:ascii="Arial" w:eastAsia="宋体" w:hAnsi="Arial" w:cs="Arial"/>
                            <w:kern w:val="0"/>
                            <w:sz w:val="24"/>
                            <w:szCs w:val="24"/>
                          </w:rPr>
                          <w:t>22</w:t>
                        </w:r>
                        <w:r w:rsidRPr="00331B7E">
                          <w:rPr>
                            <w:rFonts w:ascii="Arial" w:eastAsia="宋体" w:hAnsi="Arial" w:cs="Arial"/>
                            <w:kern w:val="0"/>
                            <w:sz w:val="24"/>
                            <w:szCs w:val="24"/>
                          </w:rPr>
                          <w:t>号</w:t>
                        </w:r>
                        <w:r w:rsidRPr="00331B7E">
                          <w:rPr>
                            <w:rFonts w:ascii="Arial" w:eastAsia="宋体" w:hAnsi="Arial" w:cs="Arial"/>
                            <w:kern w:val="0"/>
                            <w:sz w:val="24"/>
                            <w:szCs w:val="24"/>
                          </w:rPr>
                          <w:t>——</w:t>
                        </w:r>
                        <w:r w:rsidRPr="00331B7E">
                          <w:rPr>
                            <w:rFonts w:ascii="Arial" w:eastAsia="宋体" w:hAnsi="Arial" w:cs="Arial"/>
                            <w:kern w:val="0"/>
                            <w:sz w:val="24"/>
                            <w:szCs w:val="24"/>
                          </w:rPr>
                          <w:t>金融工具确认和计量》核算的对联营企业或合营企业的投资，适用本准则。</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（二）《企业会计准则第</w:t>
                        </w:r>
                        <w:r w:rsidRPr="00331B7E">
                          <w:rPr>
                            <w:rFonts w:ascii="Arial" w:eastAsia="宋体" w:hAnsi="Arial" w:cs="Arial"/>
                            <w:kern w:val="0"/>
                            <w:sz w:val="24"/>
                            <w:szCs w:val="24"/>
                          </w:rPr>
                          <w:t>11</w:t>
                        </w:r>
                        <w:r w:rsidRPr="00331B7E">
                          <w:rPr>
                            <w:rFonts w:ascii="Arial" w:eastAsia="宋体" w:hAnsi="Arial" w:cs="Arial"/>
                            <w:kern w:val="0"/>
                            <w:sz w:val="24"/>
                            <w:szCs w:val="24"/>
                          </w:rPr>
                          <w:t>号</w:t>
                        </w:r>
                        <w:r w:rsidRPr="00331B7E">
                          <w:rPr>
                            <w:rFonts w:ascii="Arial" w:eastAsia="宋体" w:hAnsi="Arial" w:cs="Arial"/>
                            <w:kern w:val="0"/>
                            <w:sz w:val="24"/>
                            <w:szCs w:val="24"/>
                          </w:rPr>
                          <w:t>——</w:t>
                        </w:r>
                        <w:r w:rsidRPr="00331B7E">
                          <w:rPr>
                            <w:rFonts w:ascii="Arial" w:eastAsia="宋体" w:hAnsi="Arial" w:cs="Arial"/>
                            <w:kern w:val="0"/>
                            <w:sz w:val="24"/>
                            <w:szCs w:val="24"/>
                          </w:rPr>
                          <w:t>股份支付》规范的股份支付安排中的金融工具以及其他合同和义务，适用《企业会计准则第</w:t>
                        </w:r>
                        <w:r w:rsidRPr="00331B7E">
                          <w:rPr>
                            <w:rFonts w:ascii="Arial" w:eastAsia="宋体" w:hAnsi="Arial" w:cs="Arial"/>
                            <w:kern w:val="0"/>
                            <w:sz w:val="24"/>
                            <w:szCs w:val="24"/>
                          </w:rPr>
                          <w:t>11</w:t>
                        </w:r>
                        <w:r w:rsidRPr="00331B7E">
                          <w:rPr>
                            <w:rFonts w:ascii="Arial" w:eastAsia="宋体" w:hAnsi="Arial" w:cs="Arial"/>
                            <w:kern w:val="0"/>
                            <w:sz w:val="24"/>
                            <w:szCs w:val="24"/>
                          </w:rPr>
                          <w:lastRenderedPageBreak/>
                          <w:t>号</w:t>
                        </w:r>
                        <w:r w:rsidRPr="00331B7E">
                          <w:rPr>
                            <w:rFonts w:ascii="Arial" w:eastAsia="宋体" w:hAnsi="Arial" w:cs="Arial"/>
                            <w:kern w:val="0"/>
                            <w:sz w:val="24"/>
                            <w:szCs w:val="24"/>
                          </w:rPr>
                          <w:t>——</w:t>
                        </w:r>
                        <w:r w:rsidRPr="00331B7E">
                          <w:rPr>
                            <w:rFonts w:ascii="Arial" w:eastAsia="宋体" w:hAnsi="Arial" w:cs="Arial"/>
                            <w:kern w:val="0"/>
                            <w:sz w:val="24"/>
                            <w:szCs w:val="24"/>
                          </w:rPr>
                          <w:t>股份支付》。但股份支付安排中涉及应当适用本准则第四条相关的交易和事项以及企业发行、回购、出售或注销库存股，适用本准则。</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（三）债务重组，适用《企业会计准则第</w:t>
                        </w:r>
                        <w:r w:rsidRPr="00331B7E">
                          <w:rPr>
                            <w:rFonts w:ascii="Arial" w:eastAsia="宋体" w:hAnsi="Arial" w:cs="Arial"/>
                            <w:kern w:val="0"/>
                            <w:sz w:val="24"/>
                            <w:szCs w:val="24"/>
                          </w:rPr>
                          <w:t>12</w:t>
                        </w:r>
                        <w:r w:rsidRPr="00331B7E">
                          <w:rPr>
                            <w:rFonts w:ascii="Arial" w:eastAsia="宋体" w:hAnsi="Arial" w:cs="Arial"/>
                            <w:kern w:val="0"/>
                            <w:sz w:val="24"/>
                            <w:szCs w:val="24"/>
                          </w:rPr>
                          <w:t>号</w:t>
                        </w:r>
                        <w:r w:rsidRPr="00331B7E">
                          <w:rPr>
                            <w:rFonts w:ascii="Arial" w:eastAsia="宋体" w:hAnsi="Arial" w:cs="Arial"/>
                            <w:kern w:val="0"/>
                            <w:sz w:val="24"/>
                            <w:szCs w:val="24"/>
                          </w:rPr>
                          <w:t>——</w:t>
                        </w:r>
                        <w:r w:rsidRPr="00331B7E">
                          <w:rPr>
                            <w:rFonts w:ascii="Arial" w:eastAsia="宋体" w:hAnsi="Arial" w:cs="Arial"/>
                            <w:kern w:val="0"/>
                            <w:sz w:val="24"/>
                            <w:szCs w:val="24"/>
                          </w:rPr>
                          <w:t>债务重组》。但债务重组中涉及金融资产转移披露的，适用本准则。</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（四）符合原保险合同或再保险合同定义的保险合同，适用《企业会计准则第</w:t>
                        </w:r>
                        <w:r w:rsidRPr="00331B7E">
                          <w:rPr>
                            <w:rFonts w:ascii="Arial" w:eastAsia="宋体" w:hAnsi="Arial" w:cs="Arial"/>
                            <w:kern w:val="0"/>
                            <w:sz w:val="24"/>
                            <w:szCs w:val="24"/>
                          </w:rPr>
                          <w:t>25</w:t>
                        </w:r>
                        <w:r w:rsidRPr="00331B7E">
                          <w:rPr>
                            <w:rFonts w:ascii="Arial" w:eastAsia="宋体" w:hAnsi="Arial" w:cs="Arial"/>
                            <w:kern w:val="0"/>
                            <w:sz w:val="24"/>
                            <w:szCs w:val="24"/>
                          </w:rPr>
                          <w:t>号</w:t>
                        </w:r>
                        <w:r w:rsidRPr="00331B7E">
                          <w:rPr>
                            <w:rFonts w:ascii="Arial" w:eastAsia="宋体" w:hAnsi="Arial" w:cs="Arial"/>
                            <w:kern w:val="0"/>
                            <w:sz w:val="24"/>
                            <w:szCs w:val="24"/>
                          </w:rPr>
                          <w:t>——</w:t>
                        </w:r>
                        <w:r w:rsidRPr="00331B7E">
                          <w:rPr>
                            <w:rFonts w:ascii="Arial" w:eastAsia="宋体" w:hAnsi="Arial" w:cs="Arial"/>
                            <w:kern w:val="0"/>
                            <w:sz w:val="24"/>
                            <w:szCs w:val="24"/>
                          </w:rPr>
                          <w:t>原保险合同》或《企业会计准则第</w:t>
                        </w:r>
                        <w:r w:rsidRPr="00331B7E">
                          <w:rPr>
                            <w:rFonts w:ascii="Arial" w:eastAsia="宋体" w:hAnsi="Arial" w:cs="Arial"/>
                            <w:kern w:val="0"/>
                            <w:sz w:val="24"/>
                            <w:szCs w:val="24"/>
                          </w:rPr>
                          <w:t>26</w:t>
                        </w:r>
                        <w:r w:rsidRPr="00331B7E">
                          <w:rPr>
                            <w:rFonts w:ascii="Arial" w:eastAsia="宋体" w:hAnsi="Arial" w:cs="Arial"/>
                            <w:kern w:val="0"/>
                            <w:sz w:val="24"/>
                            <w:szCs w:val="24"/>
                          </w:rPr>
                          <w:t>号</w:t>
                        </w:r>
                        <w:r w:rsidRPr="00331B7E">
                          <w:rPr>
                            <w:rFonts w:ascii="Arial" w:eastAsia="宋体" w:hAnsi="Arial" w:cs="Arial"/>
                            <w:kern w:val="0"/>
                            <w:sz w:val="24"/>
                            <w:szCs w:val="24"/>
                          </w:rPr>
                          <w:t>——</w:t>
                        </w:r>
                        <w:r w:rsidRPr="00331B7E">
                          <w:rPr>
                            <w:rFonts w:ascii="Arial" w:eastAsia="宋体" w:hAnsi="Arial" w:cs="Arial"/>
                            <w:kern w:val="0"/>
                            <w:sz w:val="24"/>
                            <w:szCs w:val="24"/>
                          </w:rPr>
                          <w:t>再保险合同》（以下简称相关保险合同准则）。</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《企业会计准则第</w:t>
                        </w:r>
                        <w:r w:rsidRPr="00331B7E">
                          <w:rPr>
                            <w:rFonts w:ascii="Arial" w:eastAsia="宋体" w:hAnsi="Arial" w:cs="Arial"/>
                            <w:kern w:val="0"/>
                            <w:sz w:val="24"/>
                            <w:szCs w:val="24"/>
                          </w:rPr>
                          <w:t>22</w:t>
                        </w:r>
                        <w:r w:rsidRPr="00331B7E">
                          <w:rPr>
                            <w:rFonts w:ascii="Arial" w:eastAsia="宋体" w:hAnsi="Arial" w:cs="Arial"/>
                            <w:kern w:val="0"/>
                            <w:sz w:val="24"/>
                            <w:szCs w:val="24"/>
                          </w:rPr>
                          <w:t>号</w:t>
                        </w:r>
                        <w:r w:rsidRPr="00331B7E">
                          <w:rPr>
                            <w:rFonts w:ascii="Arial" w:eastAsia="宋体" w:hAnsi="Arial" w:cs="Arial"/>
                            <w:kern w:val="0"/>
                            <w:sz w:val="24"/>
                            <w:szCs w:val="24"/>
                          </w:rPr>
                          <w:t>——</w:t>
                        </w:r>
                        <w:r w:rsidRPr="00331B7E">
                          <w:rPr>
                            <w:rFonts w:ascii="Arial" w:eastAsia="宋体" w:hAnsi="Arial" w:cs="Arial"/>
                            <w:kern w:val="0"/>
                            <w:sz w:val="24"/>
                            <w:szCs w:val="24"/>
                          </w:rPr>
                          <w:t>金融工具确认和计量》要求从保险合同中分拆后单独核算的嵌入衍生工具，适用本准则。企业选择按照《企业会计准则第</w:t>
                        </w:r>
                        <w:r w:rsidRPr="00331B7E">
                          <w:rPr>
                            <w:rFonts w:ascii="Arial" w:eastAsia="宋体" w:hAnsi="Arial" w:cs="Arial"/>
                            <w:kern w:val="0"/>
                            <w:sz w:val="24"/>
                            <w:szCs w:val="24"/>
                          </w:rPr>
                          <w:t>22</w:t>
                        </w:r>
                        <w:r w:rsidRPr="00331B7E">
                          <w:rPr>
                            <w:rFonts w:ascii="Arial" w:eastAsia="宋体" w:hAnsi="Arial" w:cs="Arial"/>
                            <w:kern w:val="0"/>
                            <w:sz w:val="24"/>
                            <w:szCs w:val="24"/>
                          </w:rPr>
                          <w:t>号</w:t>
                        </w:r>
                        <w:r w:rsidRPr="00331B7E">
                          <w:rPr>
                            <w:rFonts w:ascii="Arial" w:eastAsia="宋体" w:hAnsi="Arial" w:cs="Arial"/>
                            <w:kern w:val="0"/>
                            <w:sz w:val="24"/>
                            <w:szCs w:val="24"/>
                          </w:rPr>
                          <w:t>——</w:t>
                        </w:r>
                        <w:r w:rsidRPr="00331B7E">
                          <w:rPr>
                            <w:rFonts w:ascii="Arial" w:eastAsia="宋体" w:hAnsi="Arial" w:cs="Arial"/>
                            <w:kern w:val="0"/>
                            <w:sz w:val="24"/>
                            <w:szCs w:val="24"/>
                          </w:rPr>
                          <w:t>金融工具确认和计量》核算的财务担保合同，适用本准则。</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五）因具有相机分红特征而适用相关保险合同准则的金融工具，不适用本准则中关于金融负债和权益工具区分的规定。嵌入此类金融工具的衍生工具，适用本准则。但嵌入衍生工具本身是一项保险合同的，适用相关保险合同准则。</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（六）职工薪</w:t>
                        </w:r>
                        <w:proofErr w:type="gramStart"/>
                        <w:r w:rsidRPr="00331B7E">
                          <w:rPr>
                            <w:rFonts w:ascii="Arial" w:eastAsia="宋体" w:hAnsi="Arial" w:cs="Arial"/>
                            <w:kern w:val="0"/>
                            <w:sz w:val="24"/>
                            <w:szCs w:val="24"/>
                          </w:rPr>
                          <w:t>酬</w:t>
                        </w:r>
                        <w:proofErr w:type="gramEnd"/>
                        <w:r w:rsidRPr="00331B7E">
                          <w:rPr>
                            <w:rFonts w:ascii="Arial" w:eastAsia="宋体" w:hAnsi="Arial" w:cs="Arial"/>
                            <w:kern w:val="0"/>
                            <w:sz w:val="24"/>
                            <w:szCs w:val="24"/>
                          </w:rPr>
                          <w:t>计划形成的企业的权利和义务，适用《企业会计准则第</w:t>
                        </w:r>
                        <w:r w:rsidRPr="00331B7E">
                          <w:rPr>
                            <w:rFonts w:ascii="Arial" w:eastAsia="宋体" w:hAnsi="Arial" w:cs="Arial"/>
                            <w:kern w:val="0"/>
                            <w:sz w:val="24"/>
                            <w:szCs w:val="24"/>
                          </w:rPr>
                          <w:t>9</w:t>
                        </w:r>
                        <w:r w:rsidRPr="00331B7E">
                          <w:rPr>
                            <w:rFonts w:ascii="Arial" w:eastAsia="宋体" w:hAnsi="Arial" w:cs="Arial"/>
                            <w:kern w:val="0"/>
                            <w:sz w:val="24"/>
                            <w:szCs w:val="24"/>
                          </w:rPr>
                          <w:t>号</w:t>
                        </w:r>
                        <w:r w:rsidRPr="00331B7E">
                          <w:rPr>
                            <w:rFonts w:ascii="Arial" w:eastAsia="宋体" w:hAnsi="Arial" w:cs="Arial"/>
                            <w:kern w:val="0"/>
                            <w:sz w:val="24"/>
                            <w:szCs w:val="24"/>
                          </w:rPr>
                          <w:t>——</w:t>
                        </w:r>
                        <w:r w:rsidRPr="00331B7E">
                          <w:rPr>
                            <w:rFonts w:ascii="Arial" w:eastAsia="宋体" w:hAnsi="Arial" w:cs="Arial"/>
                            <w:kern w:val="0"/>
                            <w:sz w:val="24"/>
                            <w:szCs w:val="24"/>
                          </w:rPr>
                          <w:t>职工薪酬》。</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第四条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本准则适用于能够以现金或其他金融工具净额结算，或通过交换金融工具结算的买入或卖出非金融项目的合同。但企业按照预定的购买、销售或使用要求签订并持有，旨在收取或交付非金融项目的合同，应当适用其他相关会计准则。</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第五条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本准则第六章至第八章的规定除适用于企业已按照《企业会计准则第</w:t>
                        </w:r>
                        <w:r w:rsidRPr="00331B7E">
                          <w:rPr>
                            <w:rFonts w:ascii="Arial" w:eastAsia="宋体" w:hAnsi="Arial" w:cs="Arial"/>
                            <w:kern w:val="0"/>
                            <w:sz w:val="24"/>
                            <w:szCs w:val="24"/>
                          </w:rPr>
                          <w:t>22</w:t>
                        </w:r>
                        <w:r w:rsidRPr="00331B7E">
                          <w:rPr>
                            <w:rFonts w:ascii="Arial" w:eastAsia="宋体" w:hAnsi="Arial" w:cs="Arial"/>
                            <w:kern w:val="0"/>
                            <w:sz w:val="24"/>
                            <w:szCs w:val="24"/>
                          </w:rPr>
                          <w:t>号</w:t>
                        </w:r>
                        <w:r w:rsidRPr="00331B7E">
                          <w:rPr>
                            <w:rFonts w:ascii="Arial" w:eastAsia="宋体" w:hAnsi="Arial" w:cs="Arial"/>
                            <w:kern w:val="0"/>
                            <w:sz w:val="24"/>
                            <w:szCs w:val="24"/>
                          </w:rPr>
                          <w:t>——</w:t>
                        </w:r>
                        <w:r w:rsidRPr="00331B7E">
                          <w:rPr>
                            <w:rFonts w:ascii="Arial" w:eastAsia="宋体" w:hAnsi="Arial" w:cs="Arial"/>
                            <w:kern w:val="0"/>
                            <w:sz w:val="24"/>
                            <w:szCs w:val="24"/>
                          </w:rPr>
                          <w:t>金融工具确认和计量》确认的金融工具外，</w:t>
                        </w:r>
                        <w:r w:rsidRPr="00331B7E">
                          <w:rPr>
                            <w:rFonts w:ascii="Arial" w:eastAsia="宋体" w:hAnsi="Arial" w:cs="Arial"/>
                            <w:kern w:val="0"/>
                            <w:sz w:val="24"/>
                            <w:szCs w:val="24"/>
                          </w:rPr>
                          <w:lastRenderedPageBreak/>
                          <w:t>还适用于未确认的金融工具，例如某些贷款承诺。</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第六条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本准则规定的交易或事项涉及所得税的，应当按照《企业会计准则第</w:t>
                        </w:r>
                        <w:r w:rsidRPr="00331B7E">
                          <w:rPr>
                            <w:rFonts w:ascii="Arial" w:eastAsia="宋体" w:hAnsi="Arial" w:cs="Arial"/>
                            <w:kern w:val="0"/>
                            <w:sz w:val="24"/>
                            <w:szCs w:val="24"/>
                          </w:rPr>
                          <w:t>18</w:t>
                        </w:r>
                        <w:r w:rsidRPr="00331B7E">
                          <w:rPr>
                            <w:rFonts w:ascii="Arial" w:eastAsia="宋体" w:hAnsi="Arial" w:cs="Arial"/>
                            <w:kern w:val="0"/>
                            <w:sz w:val="24"/>
                            <w:szCs w:val="24"/>
                          </w:rPr>
                          <w:t>号</w:t>
                        </w:r>
                        <w:r w:rsidRPr="00331B7E">
                          <w:rPr>
                            <w:rFonts w:ascii="Arial" w:eastAsia="宋体" w:hAnsi="Arial" w:cs="Arial"/>
                            <w:kern w:val="0"/>
                            <w:sz w:val="24"/>
                            <w:szCs w:val="24"/>
                          </w:rPr>
                          <w:t>——</w:t>
                        </w:r>
                        <w:r w:rsidRPr="00331B7E">
                          <w:rPr>
                            <w:rFonts w:ascii="Arial" w:eastAsia="宋体" w:hAnsi="Arial" w:cs="Arial"/>
                            <w:kern w:val="0"/>
                            <w:sz w:val="24"/>
                            <w:szCs w:val="24"/>
                          </w:rPr>
                          <w:t>所得税》进行处理。</w:t>
                        </w:r>
                      </w:p>
                      <w:p w:rsidR="00331B7E" w:rsidRPr="00331B7E" w:rsidRDefault="00331B7E" w:rsidP="00331B7E">
                        <w:pPr>
                          <w:widowControl/>
                          <w:spacing w:line="432" w:lineRule="auto"/>
                          <w:jc w:val="center"/>
                          <w:rPr>
                            <w:rFonts w:ascii="Arial" w:eastAsia="宋体" w:hAnsi="Arial" w:cs="Arial"/>
                            <w:kern w:val="0"/>
                            <w:sz w:val="24"/>
                            <w:szCs w:val="24"/>
                          </w:rPr>
                        </w:pPr>
                        <w:r w:rsidRPr="00331B7E">
                          <w:rPr>
                            <w:rFonts w:ascii="Arial" w:eastAsia="宋体" w:hAnsi="Arial" w:cs="Arial"/>
                            <w:b/>
                            <w:bCs/>
                            <w:kern w:val="0"/>
                            <w:sz w:val="24"/>
                            <w:szCs w:val="24"/>
                          </w:rPr>
                          <w:t>第二章</w:t>
                        </w:r>
                        <w:r w:rsidRPr="00331B7E">
                          <w:rPr>
                            <w:rFonts w:ascii="Arial" w:eastAsia="宋体" w:hAnsi="Arial" w:cs="Arial"/>
                            <w:b/>
                            <w:bCs/>
                            <w:kern w:val="0"/>
                            <w:sz w:val="24"/>
                            <w:szCs w:val="24"/>
                          </w:rPr>
                          <w:t xml:space="preserve"> </w:t>
                        </w:r>
                        <w:r w:rsidRPr="00331B7E">
                          <w:rPr>
                            <w:rFonts w:ascii="Arial" w:eastAsia="宋体" w:hAnsi="Arial" w:cs="Arial"/>
                            <w:b/>
                            <w:bCs/>
                            <w:kern w:val="0"/>
                            <w:sz w:val="24"/>
                            <w:szCs w:val="24"/>
                          </w:rPr>
                          <w:t>金融负债和权益工具的区分</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第七条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企业应当根据所发行金融工具的合同条款及其所反映的经济实质而非仅以法律形式，结合金融资产、金融负债和权益工具的定义，在初始确认时将该金融工具或其组成部分分类为金融资产、金融负债或权益工具。</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第八条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金融负债，是指企业符合下列条件之一的负债：</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（一）向其他方交付现金或其他金融资产的合同义务。</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（二）在潜在不利条件下，与其他方交换金融资产或金融负债的合同义务。</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（三）将来须用或可用企业自身权益工具进行结算的非衍生工具合同，且企业根据该合同将交付可变数量的自身权益工具。</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四）将来须用或可用企业自身权益工具进行结算的衍生工具合同，但以固定数量的自身权益工具交换固定金额的现金或其他金融资产的衍生工具合同除外。企业对全部现有同类别非衍生自身权益工具的持有方同比例发行配股权、期权或认股权证，使之有权按比例以固定金额的任何货币换取固定数量的该企业自身权益工具的，该类配股权、期权或认股权证应当分类为权益工具。其中，企业自身权益工具不包括应按照本准则第三章分类为权益工具的金融工具，也不包括本身就要求在未来收取或交付企业自身权益工具的合同。</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第九条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权益工具，是指能证明拥有某个企业在扣除所有负债后</w:t>
                        </w:r>
                        <w:r w:rsidRPr="00331B7E">
                          <w:rPr>
                            <w:rFonts w:ascii="Arial" w:eastAsia="宋体" w:hAnsi="Arial" w:cs="Arial"/>
                            <w:kern w:val="0"/>
                            <w:sz w:val="24"/>
                            <w:szCs w:val="24"/>
                          </w:rPr>
                          <w:lastRenderedPageBreak/>
                          <w:t>的资产中的剩余权益的合同。在同时满足下列条件的情况下，企业应当将发行的金融工具分类为权益工具：</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（一）该金融工具应当不包括交付现金或其他金融资产给其他方，或在潜在不利条件下与其他方交换金融资产或金融负债的合同义务；</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二）将来须用或可用企业自身权益工具结算该金融工具。如为非衍生工具，该金融工具应当不包括交付可变数量的自身权益工具进行结算的合同义务；如为衍生工具，企业只能通过以固定数量的自身权益工具交换固定金额的现金或其他金融资产结算该金融工具。企业自身权益工具不包括应按照本准则第三章分类为权益工具的金融工具，也不包括本身就要求在未来收取或交付企业自身权益工具的合同。</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第十条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金融负债与权益工具的区分：</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一）如果企业不能无条件地避免以交付现金或其他金融资产来履行一项合同义务，则该合同义务符合金融负债的定义。有些金融工具虽然没有明确地包含交付现金或其他金融资产义务的条款和条件，但有可能通过其他条款和条件间接地形成合同义务。</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二）如果一项金融工具须用或可用企业自身权益工具进行结算，需要考虑用于结算该工具的企业自身权益工具，是作为现金或其他金融资产的替代品，还是为了使该工具持有方享有在发行方扣除所有负债后的资产中的剩余权益。如果是前者，该工具是发行方的金融负债；如果是后者，该工具是发行方的权益工具。在某些情况下，一项金融工具合同规定企业须用或可用自身权益工具结算该金融工具，其中合同权利或合同义务的金额等于可获取或需交付的</w:t>
                        </w:r>
                        <w:r w:rsidRPr="00331B7E">
                          <w:rPr>
                            <w:rFonts w:ascii="Arial" w:eastAsia="宋体" w:hAnsi="Arial" w:cs="Arial"/>
                            <w:kern w:val="0"/>
                            <w:sz w:val="24"/>
                            <w:szCs w:val="24"/>
                          </w:rPr>
                          <w:lastRenderedPageBreak/>
                          <w:t>自身权益工具的数量乘以其结算时的公允价值，则无论该合同权利或合同义务的金额是固定的，还是完全或部分地基于除企业自身权益工具的市场价格以外变量（例如利率、某种商品的价格或某项金融工具的价格）的变动而变动，该合同应当分类为金融负债。</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第十一条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除根据本准则第三章分类为权益工具的金融工具外，如果一项合同使发行方承担了以现金或其他金融资产回购自身权益工具的义务，即使发行方的回购义务取决于合同对手方是否行使回售权，发行方应当在初始确认时将该义务确认为一项金融负债，其金额等于回购所需支付金额的现值（如</w:t>
                        </w:r>
                        <w:proofErr w:type="gramStart"/>
                        <w:r w:rsidRPr="00331B7E">
                          <w:rPr>
                            <w:rFonts w:ascii="Arial" w:eastAsia="宋体" w:hAnsi="Arial" w:cs="Arial"/>
                            <w:kern w:val="0"/>
                            <w:sz w:val="24"/>
                            <w:szCs w:val="24"/>
                          </w:rPr>
                          <w:t>远期回</w:t>
                        </w:r>
                        <w:proofErr w:type="gramEnd"/>
                        <w:r w:rsidRPr="00331B7E">
                          <w:rPr>
                            <w:rFonts w:ascii="Arial" w:eastAsia="宋体" w:hAnsi="Arial" w:cs="Arial"/>
                            <w:kern w:val="0"/>
                            <w:sz w:val="24"/>
                            <w:szCs w:val="24"/>
                          </w:rPr>
                          <w:t>购价格的现值、期权行权价格的现值或其他回售金额的现值）。如果最终发行方无需以现金或其他金融资产回购自身权益工具，应当在合同到期时将该项金融负债按照账面价值重分类为权益工具。</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第十二条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对于附有或有结算条款的金融工具，发行方不能无条件地避免交付现金、其他金融资产或以其他导致该工具成为金融负债的方式进行结算的，应当分类为金融负债。但是，满足下列条件之一的，发行方应当将其分类为权益工具：</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（一）要求以现金、其他金融资产或以其他导致该工具成为金融负债的方式进行结算的或有结算条款几乎不具有可能性，</w:t>
                        </w:r>
                        <w:proofErr w:type="gramStart"/>
                        <w:r w:rsidRPr="00331B7E">
                          <w:rPr>
                            <w:rFonts w:ascii="Arial" w:eastAsia="宋体" w:hAnsi="Arial" w:cs="Arial"/>
                            <w:kern w:val="0"/>
                            <w:sz w:val="24"/>
                            <w:szCs w:val="24"/>
                          </w:rPr>
                          <w:t>即相关</w:t>
                        </w:r>
                        <w:proofErr w:type="gramEnd"/>
                        <w:r w:rsidRPr="00331B7E">
                          <w:rPr>
                            <w:rFonts w:ascii="Arial" w:eastAsia="宋体" w:hAnsi="Arial" w:cs="Arial"/>
                            <w:kern w:val="0"/>
                            <w:sz w:val="24"/>
                            <w:szCs w:val="24"/>
                          </w:rPr>
                          <w:t>情形极端罕见、显著异常或几乎不可能发生。</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（二）只有在发行方清算时，才需以现金、其他金融资产或以其他导致该工具成为金融负债的方式进行结算。</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（三）按照本准则第三章分类为权益工具的可回售工具。</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附有或有结算条款的金融工具，指是否通过交付现金或其他金融资产进行结算，或者是否以其他导致该金融工具成为金融负债的</w:t>
                        </w:r>
                        <w:r w:rsidRPr="00331B7E">
                          <w:rPr>
                            <w:rFonts w:ascii="Arial" w:eastAsia="宋体" w:hAnsi="Arial" w:cs="Arial"/>
                            <w:kern w:val="0"/>
                            <w:sz w:val="24"/>
                            <w:szCs w:val="24"/>
                          </w:rPr>
                          <w:lastRenderedPageBreak/>
                          <w:t>方式进行结算，需要由发行方和持有方均不能控制的未来不确定事项（如股价指数、消费价格指数变动，利率或税法变动，发行</w:t>
                        </w:r>
                        <w:proofErr w:type="gramStart"/>
                        <w:r w:rsidRPr="00331B7E">
                          <w:rPr>
                            <w:rFonts w:ascii="Arial" w:eastAsia="宋体" w:hAnsi="Arial" w:cs="Arial"/>
                            <w:kern w:val="0"/>
                            <w:sz w:val="24"/>
                            <w:szCs w:val="24"/>
                          </w:rPr>
                          <w:t>方未来</w:t>
                        </w:r>
                        <w:proofErr w:type="gramEnd"/>
                        <w:r w:rsidRPr="00331B7E">
                          <w:rPr>
                            <w:rFonts w:ascii="Arial" w:eastAsia="宋体" w:hAnsi="Arial" w:cs="Arial"/>
                            <w:kern w:val="0"/>
                            <w:sz w:val="24"/>
                            <w:szCs w:val="24"/>
                          </w:rPr>
                          <w:t>收入、净收益或债务权益比率等）的发生或不发生（或发行方和持有方均不能控制的未来不确定事项的结果）来确定的金融工具。</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第十三条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对于存在结算选择权的衍生工具（例如，合同规定发行方或持有方能选择以现金净额或以发行股份交换现金等方式进行结算的衍生工具），发行方应当将其确认为金融资产或金融负债，但所有可供选择的结算方式均表明该衍生工具应当确认为权益工具的除外。</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第十四条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企业应对发行的非衍生工具进行评估，以确定所发行的工具是否为复合金融工具。企业所发行的非衍生工具可能同时包含金融负债成分和权益工具成分。对于复合金融工具，发行方应于初始确认时将各组成部分分别分类为金融负债、金融资产或权益工具。</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企业发行的一项非衍生工具同时包含金融负债成分和权益工具成分的，应于初始计量时先确定金融负债成分的公允价值（包括其中可能包含的非权益性嵌入衍生工具的公允价值），再从复合金融工具公允价值中扣除负债成分的公允价值，作为权益工具成分的价值。</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第十五条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在合并财务报表中对金融工具（或其组成部分）进行分类时，企业应当考虑集团成员和金融工具的持有方之间达成的所有条款和条件。如果集团作为一个整体由于该工具承担了交付现金、其他金融资产或以其他导致该工具成为金融负债的方式进行结算的义务，则该工具应当分类为金融负债。</w:t>
                        </w:r>
                      </w:p>
                      <w:p w:rsidR="00331B7E" w:rsidRPr="00331B7E" w:rsidRDefault="00331B7E" w:rsidP="00331B7E">
                        <w:pPr>
                          <w:widowControl/>
                          <w:spacing w:line="432" w:lineRule="auto"/>
                          <w:jc w:val="center"/>
                          <w:rPr>
                            <w:rFonts w:ascii="Arial" w:eastAsia="宋体" w:hAnsi="Arial" w:cs="Arial"/>
                            <w:kern w:val="0"/>
                            <w:sz w:val="24"/>
                            <w:szCs w:val="24"/>
                          </w:rPr>
                        </w:pPr>
                        <w:r w:rsidRPr="00331B7E">
                          <w:rPr>
                            <w:rFonts w:ascii="Arial" w:eastAsia="宋体" w:hAnsi="Arial" w:cs="Arial"/>
                            <w:b/>
                            <w:bCs/>
                            <w:kern w:val="0"/>
                            <w:sz w:val="24"/>
                            <w:szCs w:val="24"/>
                          </w:rPr>
                          <w:lastRenderedPageBreak/>
                          <w:t>第三章</w:t>
                        </w:r>
                        <w:r w:rsidRPr="00331B7E">
                          <w:rPr>
                            <w:rFonts w:ascii="Arial" w:eastAsia="宋体" w:hAnsi="Arial" w:cs="Arial"/>
                            <w:b/>
                            <w:bCs/>
                            <w:kern w:val="0"/>
                            <w:sz w:val="24"/>
                            <w:szCs w:val="24"/>
                          </w:rPr>
                          <w:t xml:space="preserve"> </w:t>
                        </w:r>
                        <w:r w:rsidRPr="00331B7E">
                          <w:rPr>
                            <w:rFonts w:ascii="Arial" w:eastAsia="宋体" w:hAnsi="Arial" w:cs="Arial"/>
                            <w:b/>
                            <w:bCs/>
                            <w:kern w:val="0"/>
                            <w:sz w:val="24"/>
                            <w:szCs w:val="24"/>
                          </w:rPr>
                          <w:t>特殊金融工具的区分</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第十六条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符合金融负债定义，但同时具有下列特征的可回售工具，应当分类为权益工具：</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一）赋予持有方在企业清算时按比例份额获得该企业净资产的权利。企业净资产，是指扣除所有优先于该工具对企业资产要求权之后的剩余资产。按比例份额是指清算时将企业的净资产分拆为金额相等的单位，并且将单位金额乘以持有方所持有的单位数量；</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（二）该工具所属的类别次于其他所有工具类别，即该工具在归属于该类别前无须转换为另一种工具，且在清算时对企业资产没有优先于其他工具的要求权；</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（三）该类别的所有工具具有相同的特征（例如它们必须都具有可回售特征，并且用于计算回购或赎回价格的公式或其他方法都相同）；</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（四）除了发行方应当以现金或其他金融资产回购或赎回该工具的合同义务外，该工具不满足本准则规定的金融负债定义中的任何其他特征；</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（五）该工具在存续期内的预计现金流量总额，应当实质上基于该工具存续期内企业的损益、已确认净资产的变动、已确认和未确认净资产的公允价值变动（不包括该工具的任何影响）。</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可回售工具，是指根据合同约定，持有方有权将该工具回售给发行方以获取现金或其他金融资产的权利，或者在未来某一不确定事项发生或者持有</w:t>
                        </w:r>
                        <w:proofErr w:type="gramStart"/>
                        <w:r w:rsidRPr="00331B7E">
                          <w:rPr>
                            <w:rFonts w:ascii="Arial" w:eastAsia="宋体" w:hAnsi="Arial" w:cs="Arial"/>
                            <w:kern w:val="0"/>
                            <w:sz w:val="24"/>
                            <w:szCs w:val="24"/>
                          </w:rPr>
                          <w:t>方死亡</w:t>
                        </w:r>
                        <w:proofErr w:type="gramEnd"/>
                        <w:r w:rsidRPr="00331B7E">
                          <w:rPr>
                            <w:rFonts w:ascii="Arial" w:eastAsia="宋体" w:hAnsi="Arial" w:cs="Arial"/>
                            <w:kern w:val="0"/>
                            <w:sz w:val="24"/>
                            <w:szCs w:val="24"/>
                          </w:rPr>
                          <w:t>或退休时，自动回售给发行方的金融工具。</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第十七条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符合金融负债定义，但同时具有下列特征的发行方仅在清算时才有义务向另一方按比例交付其净资产的金融工具，应当</w:t>
                        </w:r>
                        <w:r w:rsidRPr="00331B7E">
                          <w:rPr>
                            <w:rFonts w:ascii="Arial" w:eastAsia="宋体" w:hAnsi="Arial" w:cs="Arial"/>
                            <w:kern w:val="0"/>
                            <w:sz w:val="24"/>
                            <w:szCs w:val="24"/>
                          </w:rPr>
                          <w:lastRenderedPageBreak/>
                          <w:t>分类为权益工具：</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（一）赋予持有方在企业清算时按比例份额获得该企业净资产的权利；</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（二）该工具所属的类别次于其他所有工具类别；</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（三）在次于其他所有类别的工具类别中，发行方对该类别中所有工具都应当在清算时承担按比例份额交付其净资产的同等合同义务。</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产生上述合同义务的清算确定将会发生并且不受发行方的控制（如发行方本身是有限寿命主体），或者发生与否取决于该工具的持有方。</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第十八条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分类为权益工具的可回售工具，或发行方仅在清算时才有义务向另一方按比例交付其净资产的金融工具，除应当具有第十六条或第十七条所述特征外，其发行方应当没有同时具备下列特征的其他金融工具或合同：</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（一）现金流量总额实质上基于企业的损益、已确认净资产的变动、已确认和未确认净资产的公允价值变动（不包括该工具或合同的任何影响）；</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（二）实质上限制或固定了本准则第十六条或第十七条所述工具持有方所获得的剩余回报。</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在运用上述条件时，对于发行方与本准则第十六条或第十七条所述工具持有方签订的非金融合同，如果其条款和条件与发行方和其他方之间可能订立的同等合同类似，不应考虑该非金融合同的影响。但如果不能做出此判断，则不得将该工具分类为权益工具。</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第十九条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按照本章规定分类为权益工具的金融工具，</w:t>
                        </w:r>
                        <w:proofErr w:type="gramStart"/>
                        <w:r w:rsidRPr="00331B7E">
                          <w:rPr>
                            <w:rFonts w:ascii="Arial" w:eastAsia="宋体" w:hAnsi="Arial" w:cs="Arial"/>
                            <w:kern w:val="0"/>
                            <w:sz w:val="24"/>
                            <w:szCs w:val="24"/>
                          </w:rPr>
                          <w:t>自不再</w:t>
                        </w:r>
                        <w:proofErr w:type="gramEnd"/>
                        <w:r w:rsidRPr="00331B7E">
                          <w:rPr>
                            <w:rFonts w:ascii="Arial" w:eastAsia="宋体" w:hAnsi="Arial" w:cs="Arial"/>
                            <w:kern w:val="0"/>
                            <w:sz w:val="24"/>
                            <w:szCs w:val="24"/>
                          </w:rPr>
                          <w:t>具</w:t>
                        </w:r>
                        <w:r w:rsidRPr="00331B7E">
                          <w:rPr>
                            <w:rFonts w:ascii="Arial" w:eastAsia="宋体" w:hAnsi="Arial" w:cs="Arial"/>
                            <w:kern w:val="0"/>
                            <w:sz w:val="24"/>
                            <w:szCs w:val="24"/>
                          </w:rPr>
                          <w:lastRenderedPageBreak/>
                          <w:t>有第十六条或第十七条所述特征，或发行方不再满足第十八条规定条件之日起，发行方应当将其重分类为金融负债，以重</w:t>
                        </w:r>
                        <w:proofErr w:type="gramStart"/>
                        <w:r w:rsidRPr="00331B7E">
                          <w:rPr>
                            <w:rFonts w:ascii="Arial" w:eastAsia="宋体" w:hAnsi="Arial" w:cs="Arial"/>
                            <w:kern w:val="0"/>
                            <w:sz w:val="24"/>
                            <w:szCs w:val="24"/>
                          </w:rPr>
                          <w:t>分类日</w:t>
                        </w:r>
                        <w:proofErr w:type="gramEnd"/>
                        <w:r w:rsidRPr="00331B7E">
                          <w:rPr>
                            <w:rFonts w:ascii="Arial" w:eastAsia="宋体" w:hAnsi="Arial" w:cs="Arial"/>
                            <w:kern w:val="0"/>
                            <w:sz w:val="24"/>
                            <w:szCs w:val="24"/>
                          </w:rPr>
                          <w:t>该工具的公允价值计量，重</w:t>
                        </w:r>
                        <w:proofErr w:type="gramStart"/>
                        <w:r w:rsidRPr="00331B7E">
                          <w:rPr>
                            <w:rFonts w:ascii="Arial" w:eastAsia="宋体" w:hAnsi="Arial" w:cs="Arial"/>
                            <w:kern w:val="0"/>
                            <w:sz w:val="24"/>
                            <w:szCs w:val="24"/>
                          </w:rPr>
                          <w:t>分类日</w:t>
                        </w:r>
                        <w:proofErr w:type="gramEnd"/>
                        <w:r w:rsidRPr="00331B7E">
                          <w:rPr>
                            <w:rFonts w:ascii="Arial" w:eastAsia="宋体" w:hAnsi="Arial" w:cs="Arial"/>
                            <w:kern w:val="0"/>
                            <w:sz w:val="24"/>
                            <w:szCs w:val="24"/>
                          </w:rPr>
                          <w:t>权益工具的账面价值和金融负债的公允价值之间的差额确认为权益。</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按照本章规定分类为金融负债的金融工具，</w:t>
                        </w:r>
                        <w:proofErr w:type="gramStart"/>
                        <w:r w:rsidRPr="00331B7E">
                          <w:rPr>
                            <w:rFonts w:ascii="Arial" w:eastAsia="宋体" w:hAnsi="Arial" w:cs="Arial"/>
                            <w:kern w:val="0"/>
                            <w:sz w:val="24"/>
                            <w:szCs w:val="24"/>
                          </w:rPr>
                          <w:t>自具有</w:t>
                        </w:r>
                        <w:proofErr w:type="gramEnd"/>
                        <w:r w:rsidRPr="00331B7E">
                          <w:rPr>
                            <w:rFonts w:ascii="Arial" w:eastAsia="宋体" w:hAnsi="Arial" w:cs="Arial"/>
                            <w:kern w:val="0"/>
                            <w:sz w:val="24"/>
                            <w:szCs w:val="24"/>
                          </w:rPr>
                          <w:t>第十六条或第十七条所述特征，且发行方满足第十八条规定条件之日起，发行方应当将其重分类为权益工具，以重</w:t>
                        </w:r>
                        <w:proofErr w:type="gramStart"/>
                        <w:r w:rsidRPr="00331B7E">
                          <w:rPr>
                            <w:rFonts w:ascii="Arial" w:eastAsia="宋体" w:hAnsi="Arial" w:cs="Arial"/>
                            <w:kern w:val="0"/>
                            <w:sz w:val="24"/>
                            <w:szCs w:val="24"/>
                          </w:rPr>
                          <w:t>分类日</w:t>
                        </w:r>
                        <w:proofErr w:type="gramEnd"/>
                        <w:r w:rsidRPr="00331B7E">
                          <w:rPr>
                            <w:rFonts w:ascii="Arial" w:eastAsia="宋体" w:hAnsi="Arial" w:cs="Arial"/>
                            <w:kern w:val="0"/>
                            <w:sz w:val="24"/>
                            <w:szCs w:val="24"/>
                          </w:rPr>
                          <w:t>金融负债的账面价值计量。</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第二十条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企业发行的满足本章规定分类为权益工具的金融工具，在其母公司的合并财务报表中对应的少数股东权益部分，应当分类为金融负债。</w:t>
                        </w:r>
                      </w:p>
                      <w:p w:rsidR="00331B7E" w:rsidRPr="00331B7E" w:rsidRDefault="00331B7E" w:rsidP="00331B7E">
                        <w:pPr>
                          <w:widowControl/>
                          <w:spacing w:line="432" w:lineRule="auto"/>
                          <w:jc w:val="center"/>
                          <w:rPr>
                            <w:rFonts w:ascii="Arial" w:eastAsia="宋体" w:hAnsi="Arial" w:cs="Arial"/>
                            <w:kern w:val="0"/>
                            <w:sz w:val="24"/>
                            <w:szCs w:val="24"/>
                          </w:rPr>
                        </w:pPr>
                        <w:r w:rsidRPr="00331B7E">
                          <w:rPr>
                            <w:rFonts w:ascii="Arial" w:eastAsia="宋体" w:hAnsi="Arial" w:cs="Arial"/>
                            <w:b/>
                            <w:bCs/>
                            <w:kern w:val="0"/>
                            <w:sz w:val="24"/>
                            <w:szCs w:val="24"/>
                          </w:rPr>
                          <w:t>第四章</w:t>
                        </w:r>
                        <w:r w:rsidRPr="00331B7E">
                          <w:rPr>
                            <w:rFonts w:ascii="Arial" w:eastAsia="宋体" w:hAnsi="Arial" w:cs="Arial"/>
                            <w:b/>
                            <w:bCs/>
                            <w:kern w:val="0"/>
                            <w:sz w:val="24"/>
                            <w:szCs w:val="24"/>
                          </w:rPr>
                          <w:t xml:space="preserve"> </w:t>
                        </w:r>
                        <w:r w:rsidRPr="00331B7E">
                          <w:rPr>
                            <w:rFonts w:ascii="Arial" w:eastAsia="宋体" w:hAnsi="Arial" w:cs="Arial"/>
                            <w:b/>
                            <w:bCs/>
                            <w:kern w:val="0"/>
                            <w:sz w:val="24"/>
                            <w:szCs w:val="24"/>
                          </w:rPr>
                          <w:t>收益和库存股</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第二十一条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金融工具或其组成部分属于金融负债的，相关利息、股利（或股息）、利得或损失，以及赎回或再融资产生的利得或损失等，应当计入当期损益。</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第二十二条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金融工具或其组成部分属于权益工具的，其发行（</w:t>
                        </w:r>
                        <w:proofErr w:type="gramStart"/>
                        <w:r w:rsidRPr="00331B7E">
                          <w:rPr>
                            <w:rFonts w:ascii="Arial" w:eastAsia="宋体" w:hAnsi="Arial" w:cs="Arial"/>
                            <w:kern w:val="0"/>
                            <w:sz w:val="24"/>
                            <w:szCs w:val="24"/>
                          </w:rPr>
                          <w:t>含再融资</w:t>
                        </w:r>
                        <w:proofErr w:type="gramEnd"/>
                        <w:r w:rsidRPr="00331B7E">
                          <w:rPr>
                            <w:rFonts w:ascii="Arial" w:eastAsia="宋体" w:hAnsi="Arial" w:cs="Arial"/>
                            <w:kern w:val="0"/>
                            <w:sz w:val="24"/>
                            <w:szCs w:val="24"/>
                          </w:rPr>
                          <w:t>）、回购、出售或注销时，发行方应当作为权益的变动处理。发行方不应当确认权益工具的公允价值变动。</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发行方对权益工具持有方的分配应作利润分配处理，发放的股票股利不影响所有者权益总额。</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第二十三条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与权益性交易相关的交易费用应当从权益中扣减。交易费用，是指可直接归属于购买、发行或处置金融工具的增量费用。增量费用，是指企业不购买、发行或处置金融工具就不会发生的费用。</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lastRenderedPageBreak/>
                          <w:t xml:space="preserve">　　企业发行或取得自身权益工具时发生的交易费用（例如登记费，承销费，法律、会计、评估及其他专业服务费用，印刷成本和印花税等），可直接归属于权益性交易的，应当从权益中扣减。终止的未完成权益性交易所发生的交易费用应当计入当期损益。</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第二十四条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发行复合金融工具发生的交易费用，应当在金融负债成分和权益工具成分之间按照各自占总发行价款的比例进行分摊。与多项交易相关的共同交易费用，应当在合理的基础上，采用与其他类似交易一致的方法，在各项交易间进行分摊。</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第二十五条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分类为金融负债的金融工具支付的股利，在利润表中应当确认为费用，与其他负债的利息费用合并列示，并在财务报表附注中单独披露。</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作为权益扣减项的交易费用，应当在财务报表附注中单独披露。</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第二十六条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回购自身权益工具（库存股）支付的对价和交易费用，应当减少所有者权益，不得确认金融资产。库存股可由企业自身购回和持有，也可由集团合并范围内的其他成员购回和持有。</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第二十七条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企业应当按照《企业会计准则第</w:t>
                        </w:r>
                        <w:r w:rsidRPr="00331B7E">
                          <w:rPr>
                            <w:rFonts w:ascii="Arial" w:eastAsia="宋体" w:hAnsi="Arial" w:cs="Arial"/>
                            <w:kern w:val="0"/>
                            <w:sz w:val="24"/>
                            <w:szCs w:val="24"/>
                          </w:rPr>
                          <w:t>30</w:t>
                        </w:r>
                        <w:r w:rsidRPr="00331B7E">
                          <w:rPr>
                            <w:rFonts w:ascii="Arial" w:eastAsia="宋体" w:hAnsi="Arial" w:cs="Arial"/>
                            <w:kern w:val="0"/>
                            <w:sz w:val="24"/>
                            <w:szCs w:val="24"/>
                          </w:rPr>
                          <w:t>号</w:t>
                        </w:r>
                        <w:r w:rsidRPr="00331B7E">
                          <w:rPr>
                            <w:rFonts w:ascii="Arial" w:eastAsia="宋体" w:hAnsi="Arial" w:cs="Arial"/>
                            <w:kern w:val="0"/>
                            <w:sz w:val="24"/>
                            <w:szCs w:val="24"/>
                          </w:rPr>
                          <w:t>——</w:t>
                        </w:r>
                        <w:r w:rsidRPr="00331B7E">
                          <w:rPr>
                            <w:rFonts w:ascii="Arial" w:eastAsia="宋体" w:hAnsi="Arial" w:cs="Arial"/>
                            <w:kern w:val="0"/>
                            <w:sz w:val="24"/>
                            <w:szCs w:val="24"/>
                          </w:rPr>
                          <w:t>财务报表列报》在资产负债表中单独列示所持有的库存股金额。</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企业从关联方回购自身权益工具，还应当按照《企业会计准则第</w:t>
                        </w:r>
                        <w:r w:rsidRPr="00331B7E">
                          <w:rPr>
                            <w:rFonts w:ascii="Arial" w:eastAsia="宋体" w:hAnsi="Arial" w:cs="Arial"/>
                            <w:kern w:val="0"/>
                            <w:sz w:val="24"/>
                            <w:szCs w:val="24"/>
                          </w:rPr>
                          <w:t>36</w:t>
                        </w:r>
                        <w:r w:rsidRPr="00331B7E">
                          <w:rPr>
                            <w:rFonts w:ascii="Arial" w:eastAsia="宋体" w:hAnsi="Arial" w:cs="Arial"/>
                            <w:kern w:val="0"/>
                            <w:sz w:val="24"/>
                            <w:szCs w:val="24"/>
                          </w:rPr>
                          <w:t>号</w:t>
                        </w:r>
                        <w:r w:rsidRPr="00331B7E">
                          <w:rPr>
                            <w:rFonts w:ascii="Arial" w:eastAsia="宋体" w:hAnsi="Arial" w:cs="Arial"/>
                            <w:kern w:val="0"/>
                            <w:sz w:val="24"/>
                            <w:szCs w:val="24"/>
                          </w:rPr>
                          <w:t>——</w:t>
                        </w:r>
                        <w:r w:rsidRPr="00331B7E">
                          <w:rPr>
                            <w:rFonts w:ascii="Arial" w:eastAsia="宋体" w:hAnsi="Arial" w:cs="Arial"/>
                            <w:kern w:val="0"/>
                            <w:sz w:val="24"/>
                            <w:szCs w:val="24"/>
                          </w:rPr>
                          <w:t>关联方披露》的相关规定进行披露。</w:t>
                        </w:r>
                      </w:p>
                      <w:p w:rsidR="00331B7E" w:rsidRPr="00331B7E" w:rsidRDefault="00331B7E" w:rsidP="00331B7E">
                        <w:pPr>
                          <w:widowControl/>
                          <w:spacing w:line="432" w:lineRule="auto"/>
                          <w:jc w:val="center"/>
                          <w:rPr>
                            <w:rFonts w:ascii="Arial" w:eastAsia="宋体" w:hAnsi="Arial" w:cs="Arial"/>
                            <w:kern w:val="0"/>
                            <w:sz w:val="24"/>
                            <w:szCs w:val="24"/>
                          </w:rPr>
                        </w:pPr>
                        <w:r w:rsidRPr="00331B7E">
                          <w:rPr>
                            <w:rFonts w:ascii="Arial" w:eastAsia="宋体" w:hAnsi="Arial" w:cs="Arial"/>
                            <w:b/>
                            <w:bCs/>
                            <w:kern w:val="0"/>
                            <w:sz w:val="24"/>
                            <w:szCs w:val="24"/>
                          </w:rPr>
                          <w:t>第五章</w:t>
                        </w:r>
                        <w:r w:rsidRPr="00331B7E">
                          <w:rPr>
                            <w:rFonts w:ascii="Arial" w:eastAsia="宋体" w:hAnsi="Arial" w:cs="Arial"/>
                            <w:b/>
                            <w:bCs/>
                            <w:kern w:val="0"/>
                            <w:sz w:val="24"/>
                            <w:szCs w:val="24"/>
                          </w:rPr>
                          <w:t xml:space="preserve"> </w:t>
                        </w:r>
                        <w:r w:rsidRPr="00331B7E">
                          <w:rPr>
                            <w:rFonts w:ascii="Arial" w:eastAsia="宋体" w:hAnsi="Arial" w:cs="Arial"/>
                            <w:b/>
                            <w:bCs/>
                            <w:kern w:val="0"/>
                            <w:sz w:val="24"/>
                            <w:szCs w:val="24"/>
                          </w:rPr>
                          <w:t>金融资产和金融负债的</w:t>
                        </w:r>
                        <w:proofErr w:type="gramStart"/>
                        <w:r w:rsidRPr="00331B7E">
                          <w:rPr>
                            <w:rFonts w:ascii="Arial" w:eastAsia="宋体" w:hAnsi="Arial" w:cs="Arial"/>
                            <w:b/>
                            <w:bCs/>
                            <w:kern w:val="0"/>
                            <w:sz w:val="24"/>
                            <w:szCs w:val="24"/>
                          </w:rPr>
                          <w:t>抵销</w:t>
                        </w:r>
                        <w:proofErr w:type="gramEnd"/>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第二十八条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金融资产和金融负债应当在资产负债表内分别列示，不得相互</w:t>
                        </w:r>
                        <w:proofErr w:type="gramStart"/>
                        <w:r w:rsidRPr="00331B7E">
                          <w:rPr>
                            <w:rFonts w:ascii="Arial" w:eastAsia="宋体" w:hAnsi="Arial" w:cs="Arial"/>
                            <w:kern w:val="0"/>
                            <w:sz w:val="24"/>
                            <w:szCs w:val="24"/>
                          </w:rPr>
                          <w:t>抵销</w:t>
                        </w:r>
                        <w:proofErr w:type="gramEnd"/>
                        <w:r w:rsidRPr="00331B7E">
                          <w:rPr>
                            <w:rFonts w:ascii="Arial" w:eastAsia="宋体" w:hAnsi="Arial" w:cs="Arial"/>
                            <w:kern w:val="0"/>
                            <w:sz w:val="24"/>
                            <w:szCs w:val="24"/>
                          </w:rPr>
                          <w:t>。但同时满足下列条件的，应当以相互</w:t>
                        </w:r>
                        <w:proofErr w:type="gramStart"/>
                        <w:r w:rsidRPr="00331B7E">
                          <w:rPr>
                            <w:rFonts w:ascii="Arial" w:eastAsia="宋体" w:hAnsi="Arial" w:cs="Arial"/>
                            <w:kern w:val="0"/>
                            <w:sz w:val="24"/>
                            <w:szCs w:val="24"/>
                          </w:rPr>
                          <w:t>抵销</w:t>
                        </w:r>
                        <w:proofErr w:type="gramEnd"/>
                        <w:r w:rsidRPr="00331B7E">
                          <w:rPr>
                            <w:rFonts w:ascii="Arial" w:eastAsia="宋体" w:hAnsi="Arial" w:cs="Arial"/>
                            <w:kern w:val="0"/>
                            <w:sz w:val="24"/>
                            <w:szCs w:val="24"/>
                          </w:rPr>
                          <w:t>后的净额在资产负债表内列示：</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（一）企业具有</w:t>
                        </w:r>
                        <w:proofErr w:type="gramStart"/>
                        <w:r w:rsidRPr="00331B7E">
                          <w:rPr>
                            <w:rFonts w:ascii="Arial" w:eastAsia="宋体" w:hAnsi="Arial" w:cs="Arial"/>
                            <w:kern w:val="0"/>
                            <w:sz w:val="24"/>
                            <w:szCs w:val="24"/>
                          </w:rPr>
                          <w:t>抵销</w:t>
                        </w:r>
                        <w:proofErr w:type="gramEnd"/>
                        <w:r w:rsidRPr="00331B7E">
                          <w:rPr>
                            <w:rFonts w:ascii="Arial" w:eastAsia="宋体" w:hAnsi="Arial" w:cs="Arial"/>
                            <w:kern w:val="0"/>
                            <w:sz w:val="24"/>
                            <w:szCs w:val="24"/>
                          </w:rPr>
                          <w:t>已确认金额的法定权利，且该种法定权利</w:t>
                        </w:r>
                        <w:r w:rsidRPr="00331B7E">
                          <w:rPr>
                            <w:rFonts w:ascii="Arial" w:eastAsia="宋体" w:hAnsi="Arial" w:cs="Arial"/>
                            <w:kern w:val="0"/>
                            <w:sz w:val="24"/>
                            <w:szCs w:val="24"/>
                          </w:rPr>
                          <w:lastRenderedPageBreak/>
                          <w:t>是当前可执行的；</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（二）企业计划以净额结算，或同时变现该金融资产和清偿该金融负债。</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不满足终止确认条件的金融资产转移，转出方不得将已转移的金融资产和相关负债进行</w:t>
                        </w:r>
                        <w:proofErr w:type="gramStart"/>
                        <w:r w:rsidRPr="00331B7E">
                          <w:rPr>
                            <w:rFonts w:ascii="Arial" w:eastAsia="宋体" w:hAnsi="Arial" w:cs="Arial"/>
                            <w:kern w:val="0"/>
                            <w:sz w:val="24"/>
                            <w:szCs w:val="24"/>
                          </w:rPr>
                          <w:t>抵销</w:t>
                        </w:r>
                        <w:proofErr w:type="gramEnd"/>
                        <w:r w:rsidRPr="00331B7E">
                          <w:rPr>
                            <w:rFonts w:ascii="Arial" w:eastAsia="宋体" w:hAnsi="Arial" w:cs="Arial"/>
                            <w:kern w:val="0"/>
                            <w:sz w:val="24"/>
                            <w:szCs w:val="24"/>
                          </w:rPr>
                          <w:t>。</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第二十九条</w:t>
                        </w:r>
                        <w:r w:rsidRPr="00331B7E">
                          <w:rPr>
                            <w:rFonts w:ascii="Arial" w:eastAsia="宋体" w:hAnsi="Arial" w:cs="Arial"/>
                            <w:kern w:val="0"/>
                            <w:sz w:val="24"/>
                            <w:szCs w:val="24"/>
                          </w:rPr>
                          <w:t xml:space="preserve"> </w:t>
                        </w:r>
                        <w:proofErr w:type="gramStart"/>
                        <w:r w:rsidRPr="00331B7E">
                          <w:rPr>
                            <w:rFonts w:ascii="Arial" w:eastAsia="宋体" w:hAnsi="Arial" w:cs="Arial"/>
                            <w:kern w:val="0"/>
                            <w:sz w:val="24"/>
                            <w:szCs w:val="24"/>
                          </w:rPr>
                          <w:t>抵销</w:t>
                        </w:r>
                        <w:proofErr w:type="gramEnd"/>
                        <w:r w:rsidRPr="00331B7E">
                          <w:rPr>
                            <w:rFonts w:ascii="Arial" w:eastAsia="宋体" w:hAnsi="Arial" w:cs="Arial"/>
                            <w:kern w:val="0"/>
                            <w:sz w:val="24"/>
                            <w:szCs w:val="24"/>
                          </w:rPr>
                          <w:t>权是债务人根据合同或其他协议，以应收债权人的金额全部或部分</w:t>
                        </w:r>
                        <w:proofErr w:type="gramStart"/>
                        <w:r w:rsidRPr="00331B7E">
                          <w:rPr>
                            <w:rFonts w:ascii="Arial" w:eastAsia="宋体" w:hAnsi="Arial" w:cs="Arial"/>
                            <w:kern w:val="0"/>
                            <w:sz w:val="24"/>
                            <w:szCs w:val="24"/>
                          </w:rPr>
                          <w:t>抵销</w:t>
                        </w:r>
                        <w:proofErr w:type="gramEnd"/>
                        <w:r w:rsidRPr="00331B7E">
                          <w:rPr>
                            <w:rFonts w:ascii="Arial" w:eastAsia="宋体" w:hAnsi="Arial" w:cs="Arial"/>
                            <w:kern w:val="0"/>
                            <w:sz w:val="24"/>
                            <w:szCs w:val="24"/>
                          </w:rPr>
                          <w:t>应付债权人的金额的法定权利。在某些情况下，如果债务人、债权人和第三方三者之间签署的协议明确表示债务人拥有该</w:t>
                        </w:r>
                        <w:proofErr w:type="gramStart"/>
                        <w:r w:rsidRPr="00331B7E">
                          <w:rPr>
                            <w:rFonts w:ascii="Arial" w:eastAsia="宋体" w:hAnsi="Arial" w:cs="Arial"/>
                            <w:kern w:val="0"/>
                            <w:sz w:val="24"/>
                            <w:szCs w:val="24"/>
                          </w:rPr>
                          <w:t>抵销</w:t>
                        </w:r>
                        <w:proofErr w:type="gramEnd"/>
                        <w:r w:rsidRPr="00331B7E">
                          <w:rPr>
                            <w:rFonts w:ascii="Arial" w:eastAsia="宋体" w:hAnsi="Arial" w:cs="Arial"/>
                            <w:kern w:val="0"/>
                            <w:sz w:val="24"/>
                            <w:szCs w:val="24"/>
                          </w:rPr>
                          <w:t>权，并且不违反相关法律或法规，债务人可能拥有以应收第三方的金额</w:t>
                        </w:r>
                        <w:proofErr w:type="gramStart"/>
                        <w:r w:rsidRPr="00331B7E">
                          <w:rPr>
                            <w:rFonts w:ascii="Arial" w:eastAsia="宋体" w:hAnsi="Arial" w:cs="Arial"/>
                            <w:kern w:val="0"/>
                            <w:sz w:val="24"/>
                            <w:szCs w:val="24"/>
                          </w:rPr>
                          <w:t>抵销</w:t>
                        </w:r>
                        <w:proofErr w:type="gramEnd"/>
                        <w:r w:rsidRPr="00331B7E">
                          <w:rPr>
                            <w:rFonts w:ascii="Arial" w:eastAsia="宋体" w:hAnsi="Arial" w:cs="Arial"/>
                            <w:kern w:val="0"/>
                            <w:sz w:val="24"/>
                            <w:szCs w:val="24"/>
                          </w:rPr>
                          <w:t>应付债权人的金额的法定权利。</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第三十条</w:t>
                        </w:r>
                        <w:r w:rsidRPr="00331B7E">
                          <w:rPr>
                            <w:rFonts w:ascii="Arial" w:eastAsia="宋体" w:hAnsi="Arial" w:cs="Arial"/>
                            <w:kern w:val="0"/>
                            <w:sz w:val="24"/>
                            <w:szCs w:val="24"/>
                          </w:rPr>
                          <w:t xml:space="preserve"> </w:t>
                        </w:r>
                        <w:proofErr w:type="gramStart"/>
                        <w:r w:rsidRPr="00331B7E">
                          <w:rPr>
                            <w:rFonts w:ascii="Arial" w:eastAsia="宋体" w:hAnsi="Arial" w:cs="Arial"/>
                            <w:kern w:val="0"/>
                            <w:sz w:val="24"/>
                            <w:szCs w:val="24"/>
                          </w:rPr>
                          <w:t>抵销</w:t>
                        </w:r>
                        <w:proofErr w:type="gramEnd"/>
                        <w:r w:rsidRPr="00331B7E">
                          <w:rPr>
                            <w:rFonts w:ascii="Arial" w:eastAsia="宋体" w:hAnsi="Arial" w:cs="Arial"/>
                            <w:kern w:val="0"/>
                            <w:sz w:val="24"/>
                            <w:szCs w:val="24"/>
                          </w:rPr>
                          <w:t>权应当不取决于未来事项，而且在企业和所有交易对手方的正常经营过程中，或在出现违约、无力偿债或破产等各种情形下，企业均可执行该法定权利。</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在确定</w:t>
                        </w:r>
                        <w:proofErr w:type="gramStart"/>
                        <w:r w:rsidRPr="00331B7E">
                          <w:rPr>
                            <w:rFonts w:ascii="Arial" w:eastAsia="宋体" w:hAnsi="Arial" w:cs="Arial"/>
                            <w:kern w:val="0"/>
                            <w:sz w:val="24"/>
                            <w:szCs w:val="24"/>
                          </w:rPr>
                          <w:t>抵销</w:t>
                        </w:r>
                        <w:proofErr w:type="gramEnd"/>
                        <w:r w:rsidRPr="00331B7E">
                          <w:rPr>
                            <w:rFonts w:ascii="Arial" w:eastAsia="宋体" w:hAnsi="Arial" w:cs="Arial"/>
                            <w:kern w:val="0"/>
                            <w:sz w:val="24"/>
                            <w:szCs w:val="24"/>
                          </w:rPr>
                          <w:t>权是否可执行时，企业应当充分考虑相关法律和法规要求以及合同约定等各方面因素。</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第三十一条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当前可执行的</w:t>
                        </w:r>
                        <w:proofErr w:type="gramStart"/>
                        <w:r w:rsidRPr="00331B7E">
                          <w:rPr>
                            <w:rFonts w:ascii="Arial" w:eastAsia="宋体" w:hAnsi="Arial" w:cs="Arial"/>
                            <w:kern w:val="0"/>
                            <w:sz w:val="24"/>
                            <w:szCs w:val="24"/>
                          </w:rPr>
                          <w:t>抵销</w:t>
                        </w:r>
                        <w:proofErr w:type="gramEnd"/>
                        <w:r w:rsidRPr="00331B7E">
                          <w:rPr>
                            <w:rFonts w:ascii="Arial" w:eastAsia="宋体" w:hAnsi="Arial" w:cs="Arial"/>
                            <w:kern w:val="0"/>
                            <w:sz w:val="24"/>
                            <w:szCs w:val="24"/>
                          </w:rPr>
                          <w:t>权不构成互相</w:t>
                        </w:r>
                        <w:proofErr w:type="gramStart"/>
                        <w:r w:rsidRPr="00331B7E">
                          <w:rPr>
                            <w:rFonts w:ascii="Arial" w:eastAsia="宋体" w:hAnsi="Arial" w:cs="Arial"/>
                            <w:kern w:val="0"/>
                            <w:sz w:val="24"/>
                            <w:szCs w:val="24"/>
                          </w:rPr>
                          <w:t>抵销</w:t>
                        </w:r>
                        <w:proofErr w:type="gramEnd"/>
                        <w:r w:rsidRPr="00331B7E">
                          <w:rPr>
                            <w:rFonts w:ascii="Arial" w:eastAsia="宋体" w:hAnsi="Arial" w:cs="Arial"/>
                            <w:kern w:val="0"/>
                            <w:sz w:val="24"/>
                            <w:szCs w:val="24"/>
                          </w:rPr>
                          <w:t>的充分条件，企业既不打算行使</w:t>
                        </w:r>
                        <w:proofErr w:type="gramStart"/>
                        <w:r w:rsidRPr="00331B7E">
                          <w:rPr>
                            <w:rFonts w:ascii="Arial" w:eastAsia="宋体" w:hAnsi="Arial" w:cs="Arial"/>
                            <w:kern w:val="0"/>
                            <w:sz w:val="24"/>
                            <w:szCs w:val="24"/>
                          </w:rPr>
                          <w:t>抵销</w:t>
                        </w:r>
                        <w:proofErr w:type="gramEnd"/>
                        <w:r w:rsidRPr="00331B7E">
                          <w:rPr>
                            <w:rFonts w:ascii="Arial" w:eastAsia="宋体" w:hAnsi="Arial" w:cs="Arial"/>
                            <w:kern w:val="0"/>
                            <w:sz w:val="24"/>
                            <w:szCs w:val="24"/>
                          </w:rPr>
                          <w:t>权（即净额结算），又无计划同时结算金融资产和金融负债的，该金融资产和金融负债不得</w:t>
                        </w:r>
                        <w:proofErr w:type="gramStart"/>
                        <w:r w:rsidRPr="00331B7E">
                          <w:rPr>
                            <w:rFonts w:ascii="Arial" w:eastAsia="宋体" w:hAnsi="Arial" w:cs="Arial"/>
                            <w:kern w:val="0"/>
                            <w:sz w:val="24"/>
                            <w:szCs w:val="24"/>
                          </w:rPr>
                          <w:t>抵销</w:t>
                        </w:r>
                        <w:proofErr w:type="gramEnd"/>
                        <w:r w:rsidRPr="00331B7E">
                          <w:rPr>
                            <w:rFonts w:ascii="Arial" w:eastAsia="宋体" w:hAnsi="Arial" w:cs="Arial"/>
                            <w:kern w:val="0"/>
                            <w:sz w:val="24"/>
                            <w:szCs w:val="24"/>
                          </w:rPr>
                          <w:t>。</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在没有法定权利的情况下，一方或双方即使有意向以净额为基础进行结算或同时结算相关金融资产和金融负债的，该金融资产和金融负债也不得</w:t>
                        </w:r>
                        <w:proofErr w:type="gramStart"/>
                        <w:r w:rsidRPr="00331B7E">
                          <w:rPr>
                            <w:rFonts w:ascii="Arial" w:eastAsia="宋体" w:hAnsi="Arial" w:cs="Arial"/>
                            <w:kern w:val="0"/>
                            <w:sz w:val="24"/>
                            <w:szCs w:val="24"/>
                          </w:rPr>
                          <w:t>抵销</w:t>
                        </w:r>
                        <w:proofErr w:type="gramEnd"/>
                        <w:r w:rsidRPr="00331B7E">
                          <w:rPr>
                            <w:rFonts w:ascii="Arial" w:eastAsia="宋体" w:hAnsi="Arial" w:cs="Arial"/>
                            <w:kern w:val="0"/>
                            <w:sz w:val="24"/>
                            <w:szCs w:val="24"/>
                          </w:rPr>
                          <w:t>。</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第三十二条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企业同时结算金融资产和金融负债的，如果该结算方式相当于净额结算，则满足本准则第二十八条（二）以净额结算的标准。这种结算方式必须在同一结算过程或周期内处理了相关应</w:t>
                        </w:r>
                        <w:r w:rsidRPr="00331B7E">
                          <w:rPr>
                            <w:rFonts w:ascii="Arial" w:eastAsia="宋体" w:hAnsi="Arial" w:cs="Arial"/>
                            <w:kern w:val="0"/>
                            <w:sz w:val="24"/>
                            <w:szCs w:val="24"/>
                          </w:rPr>
                          <w:lastRenderedPageBreak/>
                          <w:t>收和应付款项，最终消除或几乎消除了信用风险和流动性风险。如果某结算方式同时具备如下特征，可视为满足净额结算标准：</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（一）符合</w:t>
                        </w:r>
                        <w:proofErr w:type="gramStart"/>
                        <w:r w:rsidRPr="00331B7E">
                          <w:rPr>
                            <w:rFonts w:ascii="Arial" w:eastAsia="宋体" w:hAnsi="Arial" w:cs="Arial"/>
                            <w:kern w:val="0"/>
                            <w:sz w:val="24"/>
                            <w:szCs w:val="24"/>
                          </w:rPr>
                          <w:t>抵销</w:t>
                        </w:r>
                        <w:proofErr w:type="gramEnd"/>
                        <w:r w:rsidRPr="00331B7E">
                          <w:rPr>
                            <w:rFonts w:ascii="Arial" w:eastAsia="宋体" w:hAnsi="Arial" w:cs="Arial"/>
                            <w:kern w:val="0"/>
                            <w:sz w:val="24"/>
                            <w:szCs w:val="24"/>
                          </w:rPr>
                          <w:t>条件的金融资产和金融负债在同一时点提交处理；</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（二）金融资产和金融负债一经提交处理，各方即承诺履行结算义务；</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（三）金融资产和金融负债一经提交处理，除非处理失败，这些资产和负债产生的现金流量不可能发生变动；</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（四）以证券作为担保物的金融资产和金融负债，通过证券结算系统或其他类似机制进行结算（例如券款对付），即如果证券交付失败，则以证券作为抵押的应收款项或应付款项的处理也将失败，反之亦然；</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（五）若发生本条（四）所述的失败交易，将重新进入处理程序，直至结算完成；</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（六）由同一结算机构执行；</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（七）有足够的日间信用额度，并且能够确保该日间信用额度一经申请提取即可履行，以支持各方能够在结算日进行支付处理。</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第三十三条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在下列情况下，通常认为不满足本准则第二十八条所列条件，不得</w:t>
                        </w:r>
                        <w:proofErr w:type="gramStart"/>
                        <w:r w:rsidRPr="00331B7E">
                          <w:rPr>
                            <w:rFonts w:ascii="Arial" w:eastAsia="宋体" w:hAnsi="Arial" w:cs="Arial"/>
                            <w:kern w:val="0"/>
                            <w:sz w:val="24"/>
                            <w:szCs w:val="24"/>
                          </w:rPr>
                          <w:t>抵销</w:t>
                        </w:r>
                        <w:proofErr w:type="gramEnd"/>
                        <w:r w:rsidRPr="00331B7E">
                          <w:rPr>
                            <w:rFonts w:ascii="Arial" w:eastAsia="宋体" w:hAnsi="Arial" w:cs="Arial"/>
                            <w:kern w:val="0"/>
                            <w:sz w:val="24"/>
                            <w:szCs w:val="24"/>
                          </w:rPr>
                          <w:t>相关金融资产和金融负债：</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（一）使用多项不同金融工具来仿效单项金融工具的特征，即</w:t>
                        </w:r>
                        <w:r w:rsidRPr="00331B7E">
                          <w:rPr>
                            <w:rFonts w:ascii="Arial" w:eastAsia="宋体" w:hAnsi="Arial" w:cs="Arial"/>
                            <w:kern w:val="0"/>
                            <w:sz w:val="24"/>
                            <w:szCs w:val="24"/>
                          </w:rPr>
                          <w:t>“</w:t>
                        </w:r>
                        <w:r w:rsidRPr="00331B7E">
                          <w:rPr>
                            <w:rFonts w:ascii="Arial" w:eastAsia="宋体" w:hAnsi="Arial" w:cs="Arial"/>
                            <w:kern w:val="0"/>
                            <w:sz w:val="24"/>
                            <w:szCs w:val="24"/>
                          </w:rPr>
                          <w:t>合成工具</w:t>
                        </w:r>
                        <w:r w:rsidRPr="00331B7E">
                          <w:rPr>
                            <w:rFonts w:ascii="Arial" w:eastAsia="宋体" w:hAnsi="Arial" w:cs="Arial"/>
                            <w:kern w:val="0"/>
                            <w:sz w:val="24"/>
                            <w:szCs w:val="24"/>
                          </w:rPr>
                          <w:t>”</w:t>
                        </w:r>
                        <w:r w:rsidRPr="00331B7E">
                          <w:rPr>
                            <w:rFonts w:ascii="Arial" w:eastAsia="宋体" w:hAnsi="Arial" w:cs="Arial"/>
                            <w:kern w:val="0"/>
                            <w:sz w:val="24"/>
                            <w:szCs w:val="24"/>
                          </w:rPr>
                          <w:t>。例如，利用浮动利率长期债券与收取浮动利息且支付固定利息的利率互换，合成一项固定利率长期负债。</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（二）金融资产和金融负债虽然具有相同的主要风险敞口（例如远期合同或其他衍生工具组合中的资产和负债），但涉及不同的</w:t>
                        </w:r>
                        <w:r w:rsidRPr="00331B7E">
                          <w:rPr>
                            <w:rFonts w:ascii="Arial" w:eastAsia="宋体" w:hAnsi="Arial" w:cs="Arial"/>
                            <w:kern w:val="0"/>
                            <w:sz w:val="24"/>
                            <w:szCs w:val="24"/>
                          </w:rPr>
                          <w:lastRenderedPageBreak/>
                          <w:t>交易对手方。</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（三）无追索</w:t>
                        </w:r>
                        <w:proofErr w:type="gramStart"/>
                        <w:r w:rsidRPr="00331B7E">
                          <w:rPr>
                            <w:rFonts w:ascii="Arial" w:eastAsia="宋体" w:hAnsi="Arial" w:cs="Arial"/>
                            <w:kern w:val="0"/>
                            <w:sz w:val="24"/>
                            <w:szCs w:val="24"/>
                          </w:rPr>
                          <w:t>权金融</w:t>
                        </w:r>
                        <w:proofErr w:type="gramEnd"/>
                        <w:r w:rsidRPr="00331B7E">
                          <w:rPr>
                            <w:rFonts w:ascii="Arial" w:eastAsia="宋体" w:hAnsi="Arial" w:cs="Arial"/>
                            <w:kern w:val="0"/>
                            <w:sz w:val="24"/>
                            <w:szCs w:val="24"/>
                          </w:rPr>
                          <w:t>负债与作为其担保品的金融资产或其他资产。</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（四）债务人为解除某项负债而将一定的金融资产进行托管（例如偿债基金或类似安排），但债权人尚未接受以这些资产清偿负债。</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（五）因某些导致损失的事项而产生的义务预计可以通过保险合同向第三方索赔而得以补偿。</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第三十四条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企业与同一交易对手方进行多项金融工具交易时，可能与对手方签订</w:t>
                        </w:r>
                        <w:r w:rsidRPr="00331B7E">
                          <w:rPr>
                            <w:rFonts w:ascii="Arial" w:eastAsia="宋体" w:hAnsi="Arial" w:cs="Arial"/>
                            <w:kern w:val="0"/>
                            <w:sz w:val="24"/>
                            <w:szCs w:val="24"/>
                          </w:rPr>
                          <w:t>“</w:t>
                        </w:r>
                        <w:r w:rsidRPr="00331B7E">
                          <w:rPr>
                            <w:rFonts w:ascii="Arial" w:eastAsia="宋体" w:hAnsi="Arial" w:cs="Arial"/>
                            <w:kern w:val="0"/>
                            <w:sz w:val="24"/>
                            <w:szCs w:val="24"/>
                          </w:rPr>
                          <w:t>总互抵协议</w:t>
                        </w:r>
                        <w:r w:rsidRPr="00331B7E">
                          <w:rPr>
                            <w:rFonts w:ascii="Arial" w:eastAsia="宋体" w:hAnsi="Arial" w:cs="Arial"/>
                            <w:kern w:val="0"/>
                            <w:sz w:val="24"/>
                            <w:szCs w:val="24"/>
                          </w:rPr>
                          <w:t>”</w:t>
                        </w:r>
                        <w:r w:rsidRPr="00331B7E">
                          <w:rPr>
                            <w:rFonts w:ascii="Arial" w:eastAsia="宋体" w:hAnsi="Arial" w:cs="Arial"/>
                            <w:kern w:val="0"/>
                            <w:sz w:val="24"/>
                            <w:szCs w:val="24"/>
                          </w:rPr>
                          <w:t>。只有满足本准则第二十八条所列条件时，</w:t>
                        </w:r>
                        <w:proofErr w:type="gramStart"/>
                        <w:r w:rsidRPr="00331B7E">
                          <w:rPr>
                            <w:rFonts w:ascii="Arial" w:eastAsia="宋体" w:hAnsi="Arial" w:cs="Arial"/>
                            <w:kern w:val="0"/>
                            <w:sz w:val="24"/>
                            <w:szCs w:val="24"/>
                          </w:rPr>
                          <w:t>总互抵协议</w:t>
                        </w:r>
                        <w:proofErr w:type="gramEnd"/>
                        <w:r w:rsidRPr="00331B7E">
                          <w:rPr>
                            <w:rFonts w:ascii="Arial" w:eastAsia="宋体" w:hAnsi="Arial" w:cs="Arial"/>
                            <w:kern w:val="0"/>
                            <w:sz w:val="24"/>
                            <w:szCs w:val="24"/>
                          </w:rPr>
                          <w:t>下的相关金融资产和金融负债才能</w:t>
                        </w:r>
                        <w:proofErr w:type="gramStart"/>
                        <w:r w:rsidRPr="00331B7E">
                          <w:rPr>
                            <w:rFonts w:ascii="Arial" w:eastAsia="宋体" w:hAnsi="Arial" w:cs="Arial"/>
                            <w:kern w:val="0"/>
                            <w:sz w:val="24"/>
                            <w:szCs w:val="24"/>
                          </w:rPr>
                          <w:t>抵销</w:t>
                        </w:r>
                        <w:proofErr w:type="gramEnd"/>
                        <w:r w:rsidRPr="00331B7E">
                          <w:rPr>
                            <w:rFonts w:ascii="Arial" w:eastAsia="宋体" w:hAnsi="Arial" w:cs="Arial"/>
                            <w:kern w:val="0"/>
                            <w:sz w:val="24"/>
                            <w:szCs w:val="24"/>
                          </w:rPr>
                          <w:t>。</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w:t>
                        </w:r>
                        <w:proofErr w:type="gramStart"/>
                        <w:r w:rsidRPr="00331B7E">
                          <w:rPr>
                            <w:rFonts w:ascii="Arial" w:eastAsia="宋体" w:hAnsi="Arial" w:cs="Arial"/>
                            <w:kern w:val="0"/>
                            <w:sz w:val="24"/>
                            <w:szCs w:val="24"/>
                          </w:rPr>
                          <w:t>总互抵</w:t>
                        </w:r>
                        <w:proofErr w:type="gramEnd"/>
                        <w:r w:rsidRPr="00331B7E">
                          <w:rPr>
                            <w:rFonts w:ascii="Arial" w:eastAsia="宋体" w:hAnsi="Arial" w:cs="Arial"/>
                            <w:kern w:val="0"/>
                            <w:sz w:val="24"/>
                            <w:szCs w:val="24"/>
                          </w:rPr>
                          <w:t>协议，是指协议所涵盖的所有金融工具中的任何一项合同在发生违约或终止时，就协议所涵盖的所有金融工具按单一净额进行结算。</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第三十五条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企业应当区分金融资产和金融负债的</w:t>
                        </w:r>
                        <w:proofErr w:type="gramStart"/>
                        <w:r w:rsidRPr="00331B7E">
                          <w:rPr>
                            <w:rFonts w:ascii="Arial" w:eastAsia="宋体" w:hAnsi="Arial" w:cs="Arial"/>
                            <w:kern w:val="0"/>
                            <w:sz w:val="24"/>
                            <w:szCs w:val="24"/>
                          </w:rPr>
                          <w:t>抵销</w:t>
                        </w:r>
                        <w:proofErr w:type="gramEnd"/>
                        <w:r w:rsidRPr="00331B7E">
                          <w:rPr>
                            <w:rFonts w:ascii="Arial" w:eastAsia="宋体" w:hAnsi="Arial" w:cs="Arial"/>
                            <w:kern w:val="0"/>
                            <w:sz w:val="24"/>
                            <w:szCs w:val="24"/>
                          </w:rPr>
                          <w:t>与终止确认。</w:t>
                        </w:r>
                        <w:proofErr w:type="gramStart"/>
                        <w:r w:rsidRPr="00331B7E">
                          <w:rPr>
                            <w:rFonts w:ascii="Arial" w:eastAsia="宋体" w:hAnsi="Arial" w:cs="Arial"/>
                            <w:kern w:val="0"/>
                            <w:sz w:val="24"/>
                            <w:szCs w:val="24"/>
                          </w:rPr>
                          <w:t>抵销</w:t>
                        </w:r>
                        <w:proofErr w:type="gramEnd"/>
                        <w:r w:rsidRPr="00331B7E">
                          <w:rPr>
                            <w:rFonts w:ascii="Arial" w:eastAsia="宋体" w:hAnsi="Arial" w:cs="Arial"/>
                            <w:kern w:val="0"/>
                            <w:sz w:val="24"/>
                            <w:szCs w:val="24"/>
                          </w:rPr>
                          <w:t>金融资产和金融负债并在资产负债表中以净额列示，不应当产生利得或损失；终止确认是从资产负债表列示的项目中移除相关金融资产或金融负债，有可能产生利得或损失。</w:t>
                        </w:r>
                      </w:p>
                      <w:p w:rsidR="00331B7E" w:rsidRPr="00331B7E" w:rsidRDefault="00331B7E" w:rsidP="00331B7E">
                        <w:pPr>
                          <w:widowControl/>
                          <w:spacing w:line="432" w:lineRule="auto"/>
                          <w:jc w:val="center"/>
                          <w:rPr>
                            <w:rFonts w:ascii="Arial" w:eastAsia="宋体" w:hAnsi="Arial" w:cs="Arial"/>
                            <w:kern w:val="0"/>
                            <w:sz w:val="24"/>
                            <w:szCs w:val="24"/>
                          </w:rPr>
                        </w:pPr>
                        <w:r w:rsidRPr="00331B7E">
                          <w:rPr>
                            <w:rFonts w:ascii="Arial" w:eastAsia="宋体" w:hAnsi="Arial" w:cs="Arial"/>
                            <w:b/>
                            <w:bCs/>
                            <w:kern w:val="0"/>
                            <w:sz w:val="24"/>
                            <w:szCs w:val="24"/>
                          </w:rPr>
                          <w:t>第六章</w:t>
                        </w:r>
                        <w:r w:rsidRPr="00331B7E">
                          <w:rPr>
                            <w:rFonts w:ascii="Arial" w:eastAsia="宋体" w:hAnsi="Arial" w:cs="Arial"/>
                            <w:b/>
                            <w:bCs/>
                            <w:kern w:val="0"/>
                            <w:sz w:val="24"/>
                            <w:szCs w:val="24"/>
                          </w:rPr>
                          <w:t xml:space="preserve"> </w:t>
                        </w:r>
                        <w:r w:rsidRPr="00331B7E">
                          <w:rPr>
                            <w:rFonts w:ascii="Arial" w:eastAsia="宋体" w:hAnsi="Arial" w:cs="Arial"/>
                            <w:b/>
                            <w:bCs/>
                            <w:kern w:val="0"/>
                            <w:sz w:val="24"/>
                            <w:szCs w:val="24"/>
                          </w:rPr>
                          <w:t>金融工具对财务状况和经营成果影响的列报</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第一节</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一般性规定</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第三十六条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企业在对金融工具</w:t>
                        </w:r>
                        <w:proofErr w:type="gramStart"/>
                        <w:r w:rsidRPr="00331B7E">
                          <w:rPr>
                            <w:rFonts w:ascii="Arial" w:eastAsia="宋体" w:hAnsi="Arial" w:cs="Arial"/>
                            <w:kern w:val="0"/>
                            <w:sz w:val="24"/>
                            <w:szCs w:val="24"/>
                          </w:rPr>
                          <w:t>各项目进行列</w:t>
                        </w:r>
                        <w:proofErr w:type="gramEnd"/>
                        <w:r w:rsidRPr="00331B7E">
                          <w:rPr>
                            <w:rFonts w:ascii="Arial" w:eastAsia="宋体" w:hAnsi="Arial" w:cs="Arial"/>
                            <w:kern w:val="0"/>
                            <w:sz w:val="24"/>
                            <w:szCs w:val="24"/>
                          </w:rPr>
                          <w:t>报时，应当根据金融工具的特点及相关信息的性质对金融工具进行归类，并充分披露与金融工具相关的信息，使得财务报表附注中的披露与财务报表列示的各项</w:t>
                        </w:r>
                        <w:proofErr w:type="gramStart"/>
                        <w:r w:rsidRPr="00331B7E">
                          <w:rPr>
                            <w:rFonts w:ascii="Arial" w:eastAsia="宋体" w:hAnsi="Arial" w:cs="Arial"/>
                            <w:kern w:val="0"/>
                            <w:sz w:val="24"/>
                            <w:szCs w:val="24"/>
                          </w:rPr>
                          <w:t>目相互</w:t>
                        </w:r>
                        <w:proofErr w:type="gramEnd"/>
                        <w:r w:rsidRPr="00331B7E">
                          <w:rPr>
                            <w:rFonts w:ascii="Arial" w:eastAsia="宋体" w:hAnsi="Arial" w:cs="Arial"/>
                            <w:kern w:val="0"/>
                            <w:sz w:val="24"/>
                            <w:szCs w:val="24"/>
                          </w:rPr>
                          <w:t>对应。</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第三十七条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在确定金融工具的列</w:t>
                        </w:r>
                        <w:proofErr w:type="gramStart"/>
                        <w:r w:rsidRPr="00331B7E">
                          <w:rPr>
                            <w:rFonts w:ascii="Arial" w:eastAsia="宋体" w:hAnsi="Arial" w:cs="Arial"/>
                            <w:kern w:val="0"/>
                            <w:sz w:val="24"/>
                            <w:szCs w:val="24"/>
                          </w:rPr>
                          <w:t>报类型</w:t>
                        </w:r>
                        <w:proofErr w:type="gramEnd"/>
                        <w:r w:rsidRPr="00331B7E">
                          <w:rPr>
                            <w:rFonts w:ascii="Arial" w:eastAsia="宋体" w:hAnsi="Arial" w:cs="Arial"/>
                            <w:kern w:val="0"/>
                            <w:sz w:val="24"/>
                            <w:szCs w:val="24"/>
                          </w:rPr>
                          <w:t>时，企业至少应当将本</w:t>
                        </w:r>
                        <w:r w:rsidRPr="00331B7E">
                          <w:rPr>
                            <w:rFonts w:ascii="Arial" w:eastAsia="宋体" w:hAnsi="Arial" w:cs="Arial"/>
                            <w:kern w:val="0"/>
                            <w:sz w:val="24"/>
                            <w:szCs w:val="24"/>
                          </w:rPr>
                          <w:lastRenderedPageBreak/>
                          <w:t>准则范围内的金融工具区分为以摊</w:t>
                        </w:r>
                        <w:proofErr w:type="gramStart"/>
                        <w:r w:rsidRPr="00331B7E">
                          <w:rPr>
                            <w:rFonts w:ascii="Arial" w:eastAsia="宋体" w:hAnsi="Arial" w:cs="Arial"/>
                            <w:kern w:val="0"/>
                            <w:sz w:val="24"/>
                            <w:szCs w:val="24"/>
                          </w:rPr>
                          <w:t>余成本</w:t>
                        </w:r>
                        <w:proofErr w:type="gramEnd"/>
                        <w:r w:rsidRPr="00331B7E">
                          <w:rPr>
                            <w:rFonts w:ascii="Arial" w:eastAsia="宋体" w:hAnsi="Arial" w:cs="Arial"/>
                            <w:kern w:val="0"/>
                            <w:sz w:val="24"/>
                            <w:szCs w:val="24"/>
                          </w:rPr>
                          <w:t>计量和以公允价值计量的类型。</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第三十八条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企业应当根据自身实际情况，按照本准则要求，合理确定列报金融工具的详细程度，既不应列报大量过于详细的信息从而掩盖了真正重要的信息，也不得列报过于汇总的信息从而难以区分各项交易或相关风险之间的重要差异。</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第三十九条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企业应当披露编制财务报表时对金融工具所采用的重要会计政策、计量基础和与理解财务报表相关的其他会计政策等信息，主要包括：</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（一）对于指定为以公允价值计量且其变动计入当期损益的金融资产或金融负债，应当披露下列信息：</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w:t>
                        </w:r>
                        <w:r w:rsidRPr="00331B7E">
                          <w:rPr>
                            <w:rFonts w:ascii="Arial" w:eastAsia="宋体" w:hAnsi="Arial" w:cs="Arial"/>
                            <w:kern w:val="0"/>
                            <w:sz w:val="24"/>
                            <w:szCs w:val="24"/>
                          </w:rPr>
                          <w:t>1</w:t>
                        </w:r>
                        <w:r w:rsidRPr="00331B7E">
                          <w:rPr>
                            <w:rFonts w:ascii="Arial" w:eastAsia="宋体" w:hAnsi="Arial" w:cs="Arial"/>
                            <w:kern w:val="0"/>
                            <w:sz w:val="24"/>
                            <w:szCs w:val="24"/>
                          </w:rPr>
                          <w:t>．指定的金融资产或金融负债的性质；</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w:t>
                        </w:r>
                        <w:r w:rsidRPr="00331B7E">
                          <w:rPr>
                            <w:rFonts w:ascii="Arial" w:eastAsia="宋体" w:hAnsi="Arial" w:cs="Arial"/>
                            <w:kern w:val="0"/>
                            <w:sz w:val="24"/>
                            <w:szCs w:val="24"/>
                          </w:rPr>
                          <w:t>2</w:t>
                        </w:r>
                        <w:r w:rsidRPr="00331B7E">
                          <w:rPr>
                            <w:rFonts w:ascii="Arial" w:eastAsia="宋体" w:hAnsi="Arial" w:cs="Arial"/>
                            <w:kern w:val="0"/>
                            <w:sz w:val="24"/>
                            <w:szCs w:val="24"/>
                          </w:rPr>
                          <w:t>．初始确认时对上述金融资产或金融负债做出指定的标准；</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w:t>
                        </w:r>
                        <w:r w:rsidRPr="00331B7E">
                          <w:rPr>
                            <w:rFonts w:ascii="Arial" w:eastAsia="宋体" w:hAnsi="Arial" w:cs="Arial"/>
                            <w:kern w:val="0"/>
                            <w:sz w:val="24"/>
                            <w:szCs w:val="24"/>
                          </w:rPr>
                          <w:t>3</w:t>
                        </w:r>
                        <w:r w:rsidRPr="00331B7E">
                          <w:rPr>
                            <w:rFonts w:ascii="Arial" w:eastAsia="宋体" w:hAnsi="Arial" w:cs="Arial"/>
                            <w:kern w:val="0"/>
                            <w:sz w:val="24"/>
                            <w:szCs w:val="24"/>
                          </w:rPr>
                          <w:t>．如何满足运用指定的标准。对于以消除或显著减少会计错配为目的的指定，企业应当披露该指定所针对的确认或计量不一致的描述性说明。对于以更好地反映组合的管理实质为目的的指定，企业应当披露该指定符合企业正式书面文件载明的风险管理或投资策略的描述性说明。对于整体指定为以公允价值计量且其变动计入当期损益的混合工具，企业应当披露运用指定标准的描述性说明。</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（二）指定金融资产为可供出售金融资产的标准。</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（三）金融资产常规购买和出售的会计政策。</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（四）核销减值准备</w:t>
                        </w:r>
                        <w:proofErr w:type="gramStart"/>
                        <w:r w:rsidRPr="00331B7E">
                          <w:rPr>
                            <w:rFonts w:ascii="Arial" w:eastAsia="宋体" w:hAnsi="Arial" w:cs="Arial"/>
                            <w:kern w:val="0"/>
                            <w:sz w:val="24"/>
                            <w:szCs w:val="24"/>
                          </w:rPr>
                          <w:t>并减记金融资产</w:t>
                        </w:r>
                        <w:proofErr w:type="gramEnd"/>
                        <w:r w:rsidRPr="00331B7E">
                          <w:rPr>
                            <w:rFonts w:ascii="Arial" w:eastAsia="宋体" w:hAnsi="Arial" w:cs="Arial"/>
                            <w:kern w:val="0"/>
                            <w:sz w:val="24"/>
                            <w:szCs w:val="24"/>
                          </w:rPr>
                          <w:t>账面价值的原则。</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（五）如何确定每类金融工具的利得或损失。</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（六）存在客观证据表明金融资产已发生减值的适用标准。</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lastRenderedPageBreak/>
                          <w:t xml:space="preserve">　　（七）为避免金融资产逾期或减值而重新议定条款的金融资产所适用的会计政策。</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第二节</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资产负债表中的列示及相关披露</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第四十条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企业应当在资产负债表或相关附注中列</w:t>
                        </w:r>
                        <w:proofErr w:type="gramStart"/>
                        <w:r w:rsidRPr="00331B7E">
                          <w:rPr>
                            <w:rFonts w:ascii="Arial" w:eastAsia="宋体" w:hAnsi="Arial" w:cs="Arial"/>
                            <w:kern w:val="0"/>
                            <w:sz w:val="24"/>
                            <w:szCs w:val="24"/>
                          </w:rPr>
                          <w:t>报下列</w:t>
                        </w:r>
                        <w:proofErr w:type="gramEnd"/>
                        <w:r w:rsidRPr="00331B7E">
                          <w:rPr>
                            <w:rFonts w:ascii="Arial" w:eastAsia="宋体" w:hAnsi="Arial" w:cs="Arial"/>
                            <w:kern w:val="0"/>
                            <w:sz w:val="24"/>
                            <w:szCs w:val="24"/>
                          </w:rPr>
                          <w:t>金融资产或金融负债的账面价值：</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（一）以公允价值计量且其变动计入当期损益的金融资产，并分别反映交易性金融资产和在初始确认时指定为以公允价值计量且其变动计入当期损益的金融资产；</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（二）持有至到期投资；</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（三）贷款和应收款项；</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（四）可供出售金融资产；</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（五）以公允价值计量且其变动计入当期损益的金融负债，并分别反映交易性金融负债和在初始确认时指定为以公允价值计量且其变动计入当期损益的金融负债；</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（六）其他金融负债。</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第四十一条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企业将单项或一组贷款或应收款项指定为以公允价值计量且其变动计入当期损益的金融资产的，应当披露下列信息：</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（一）资产负债表日该贷款或应收款项使企业面临的最大信用风险敞口。信用风险，是指金融工具的一方不履行义务，造成另一方发生财务损失的风险。</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（二）相关信用衍生工具或类似工具使得该最大信用风险敞口降低的金额。</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（三）该贷款或应收款项因信用风险变动引起的公允价值本期变</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lastRenderedPageBreak/>
                          <w:t xml:space="preserve">　　</w:t>
                        </w:r>
                        <w:proofErr w:type="gramStart"/>
                        <w:r w:rsidRPr="00331B7E">
                          <w:rPr>
                            <w:rFonts w:ascii="Arial" w:eastAsia="宋体" w:hAnsi="Arial" w:cs="Arial"/>
                            <w:kern w:val="0"/>
                            <w:sz w:val="24"/>
                            <w:szCs w:val="24"/>
                          </w:rPr>
                          <w:t>动额和</w:t>
                        </w:r>
                        <w:proofErr w:type="gramEnd"/>
                        <w:r w:rsidRPr="00331B7E">
                          <w:rPr>
                            <w:rFonts w:ascii="Arial" w:eastAsia="宋体" w:hAnsi="Arial" w:cs="Arial"/>
                            <w:kern w:val="0"/>
                            <w:sz w:val="24"/>
                            <w:szCs w:val="24"/>
                          </w:rPr>
                          <w:t>累计变动额。这些变动额，是该贷款或应收款项公允价值变动扣除由于市场风险因素的变化导致公允价值变动后的部分；或是企业以能够更真实地反映信用风险变动导致该贷款或应收款项公允价值变动的其他方法确定的金额。市场风险因素的变化包括，可观察的利率、商品价格、汇率以及价格指数、利率指数、汇率指数等指数的变动。</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（四）相关信用衍生工具或类似工具的公允价值本期变动额和自该贷款或应收款项被指定以来的公允价值累计变动额。</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第四十二条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企业将一项金融负债指定为以公允价值计量且其变动计入当期损益的金融负债的，应当披露下列信息：</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一）该金融负债因信用风险变动引起的公允价值本期变动额和累计变动额。这些变动额，是该金融负债公允价值变动扣除由于市场风险因素的变化导致公允价值变动后的部分；或是企业以能够更真实地反映信用风险变动导致该金融负债公允价值变动的其他方法确定的金额。对于包含投资连结特征的合同，市场风险因素的变化包括相关内部或外部投资组合业绩的变动。</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（二）该金融负债的账面价值与按合同约定到期应支付债权人金额之间的差额。</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第四十三条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企业应当披露本准则第四十一条（三）和第四十二条（一）中金额的确定方法。如果企业认为披露的信息未能真实反映相关金融工具公允价值变动中由信用风险引起的部分，则应当披露企业做出此结论的原因及其他需要考虑的因素。</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第四十四条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企业将金融资产进行重分类，改变了该金融资产后续计量基础的，应当披露该金融资产重分类前后的公允价值或账面</w:t>
                        </w:r>
                        <w:r w:rsidRPr="00331B7E">
                          <w:rPr>
                            <w:rFonts w:ascii="Arial" w:eastAsia="宋体" w:hAnsi="Arial" w:cs="Arial"/>
                            <w:kern w:val="0"/>
                            <w:sz w:val="24"/>
                            <w:szCs w:val="24"/>
                          </w:rPr>
                          <w:lastRenderedPageBreak/>
                          <w:t>价值和重分类的原因。</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第四十五条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对于所有可执行的</w:t>
                        </w:r>
                        <w:proofErr w:type="gramStart"/>
                        <w:r w:rsidRPr="00331B7E">
                          <w:rPr>
                            <w:rFonts w:ascii="Arial" w:eastAsia="宋体" w:hAnsi="Arial" w:cs="Arial"/>
                            <w:kern w:val="0"/>
                            <w:sz w:val="24"/>
                            <w:szCs w:val="24"/>
                          </w:rPr>
                          <w:t>总互抵协议</w:t>
                        </w:r>
                        <w:proofErr w:type="gramEnd"/>
                        <w:r w:rsidRPr="00331B7E">
                          <w:rPr>
                            <w:rFonts w:ascii="Arial" w:eastAsia="宋体" w:hAnsi="Arial" w:cs="Arial"/>
                            <w:kern w:val="0"/>
                            <w:sz w:val="24"/>
                            <w:szCs w:val="24"/>
                          </w:rPr>
                          <w:t>或类似协议下的已确认金融工具，以及符合本准则第二十八条</w:t>
                        </w:r>
                        <w:proofErr w:type="gramStart"/>
                        <w:r w:rsidRPr="00331B7E">
                          <w:rPr>
                            <w:rFonts w:ascii="Arial" w:eastAsia="宋体" w:hAnsi="Arial" w:cs="Arial"/>
                            <w:kern w:val="0"/>
                            <w:sz w:val="24"/>
                            <w:szCs w:val="24"/>
                          </w:rPr>
                          <w:t>抵销</w:t>
                        </w:r>
                        <w:proofErr w:type="gramEnd"/>
                        <w:r w:rsidRPr="00331B7E">
                          <w:rPr>
                            <w:rFonts w:ascii="Arial" w:eastAsia="宋体" w:hAnsi="Arial" w:cs="Arial"/>
                            <w:kern w:val="0"/>
                            <w:sz w:val="24"/>
                            <w:szCs w:val="24"/>
                          </w:rPr>
                          <w:t>条件的已确认金融工具，企业应当在报告</w:t>
                        </w:r>
                        <w:proofErr w:type="gramStart"/>
                        <w:r w:rsidRPr="00331B7E">
                          <w:rPr>
                            <w:rFonts w:ascii="Arial" w:eastAsia="宋体" w:hAnsi="Arial" w:cs="Arial"/>
                            <w:kern w:val="0"/>
                            <w:sz w:val="24"/>
                            <w:szCs w:val="24"/>
                          </w:rPr>
                          <w:t>期末以</w:t>
                        </w:r>
                        <w:proofErr w:type="gramEnd"/>
                        <w:r w:rsidRPr="00331B7E">
                          <w:rPr>
                            <w:rFonts w:ascii="Arial" w:eastAsia="宋体" w:hAnsi="Arial" w:cs="Arial"/>
                            <w:kern w:val="0"/>
                            <w:sz w:val="24"/>
                            <w:szCs w:val="24"/>
                          </w:rPr>
                          <w:t>表格形式分别按金融资产和金融负债披露下列定量信息：</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（一）已确认金融资产和金融负债的总额。</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（二）按本准则规定</w:t>
                        </w:r>
                        <w:proofErr w:type="gramStart"/>
                        <w:r w:rsidRPr="00331B7E">
                          <w:rPr>
                            <w:rFonts w:ascii="Arial" w:eastAsia="宋体" w:hAnsi="Arial" w:cs="Arial"/>
                            <w:kern w:val="0"/>
                            <w:sz w:val="24"/>
                            <w:szCs w:val="24"/>
                          </w:rPr>
                          <w:t>抵销</w:t>
                        </w:r>
                        <w:proofErr w:type="gramEnd"/>
                        <w:r w:rsidRPr="00331B7E">
                          <w:rPr>
                            <w:rFonts w:ascii="Arial" w:eastAsia="宋体" w:hAnsi="Arial" w:cs="Arial"/>
                            <w:kern w:val="0"/>
                            <w:sz w:val="24"/>
                            <w:szCs w:val="24"/>
                          </w:rPr>
                          <w:t>的金额。</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（三）在资产负债表中列示的净额。</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（四）可执行的</w:t>
                        </w:r>
                        <w:proofErr w:type="gramStart"/>
                        <w:r w:rsidRPr="00331B7E">
                          <w:rPr>
                            <w:rFonts w:ascii="Arial" w:eastAsia="宋体" w:hAnsi="Arial" w:cs="Arial"/>
                            <w:kern w:val="0"/>
                            <w:sz w:val="24"/>
                            <w:szCs w:val="24"/>
                          </w:rPr>
                          <w:t>总互抵协议</w:t>
                        </w:r>
                        <w:proofErr w:type="gramEnd"/>
                        <w:r w:rsidRPr="00331B7E">
                          <w:rPr>
                            <w:rFonts w:ascii="Arial" w:eastAsia="宋体" w:hAnsi="Arial" w:cs="Arial"/>
                            <w:kern w:val="0"/>
                            <w:sz w:val="24"/>
                            <w:szCs w:val="24"/>
                          </w:rPr>
                          <w:t>或类似协议确定的，未包含在本条（二）中的金额，包括：</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w:t>
                        </w:r>
                        <w:r w:rsidRPr="00331B7E">
                          <w:rPr>
                            <w:rFonts w:ascii="Arial" w:eastAsia="宋体" w:hAnsi="Arial" w:cs="Arial"/>
                            <w:kern w:val="0"/>
                            <w:sz w:val="24"/>
                            <w:szCs w:val="24"/>
                          </w:rPr>
                          <w:t>1</w:t>
                        </w:r>
                        <w:r w:rsidRPr="00331B7E">
                          <w:rPr>
                            <w:rFonts w:ascii="Arial" w:eastAsia="宋体" w:hAnsi="Arial" w:cs="Arial"/>
                            <w:kern w:val="0"/>
                            <w:sz w:val="24"/>
                            <w:szCs w:val="24"/>
                          </w:rPr>
                          <w:t>．不满足本准则</w:t>
                        </w:r>
                        <w:proofErr w:type="gramStart"/>
                        <w:r w:rsidRPr="00331B7E">
                          <w:rPr>
                            <w:rFonts w:ascii="Arial" w:eastAsia="宋体" w:hAnsi="Arial" w:cs="Arial"/>
                            <w:kern w:val="0"/>
                            <w:sz w:val="24"/>
                            <w:szCs w:val="24"/>
                          </w:rPr>
                          <w:t>抵销</w:t>
                        </w:r>
                        <w:proofErr w:type="gramEnd"/>
                        <w:r w:rsidRPr="00331B7E">
                          <w:rPr>
                            <w:rFonts w:ascii="Arial" w:eastAsia="宋体" w:hAnsi="Arial" w:cs="Arial"/>
                            <w:kern w:val="0"/>
                            <w:sz w:val="24"/>
                            <w:szCs w:val="24"/>
                          </w:rPr>
                          <w:t>条件的已确认金融工具的金额；</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w:t>
                        </w:r>
                        <w:r w:rsidRPr="00331B7E">
                          <w:rPr>
                            <w:rFonts w:ascii="Arial" w:eastAsia="宋体" w:hAnsi="Arial" w:cs="Arial"/>
                            <w:kern w:val="0"/>
                            <w:sz w:val="24"/>
                            <w:szCs w:val="24"/>
                          </w:rPr>
                          <w:t>2</w:t>
                        </w:r>
                        <w:r w:rsidRPr="00331B7E">
                          <w:rPr>
                            <w:rFonts w:ascii="Arial" w:eastAsia="宋体" w:hAnsi="Arial" w:cs="Arial"/>
                            <w:kern w:val="0"/>
                            <w:sz w:val="24"/>
                            <w:szCs w:val="24"/>
                          </w:rPr>
                          <w:t>．与财务担保物（包括现金担保）相关的金额，以在资产负债表中列示的净额扣除本条（四）第</w:t>
                        </w:r>
                        <w:r w:rsidRPr="00331B7E">
                          <w:rPr>
                            <w:rFonts w:ascii="Arial" w:eastAsia="宋体" w:hAnsi="Arial" w:cs="Arial"/>
                            <w:kern w:val="0"/>
                            <w:sz w:val="24"/>
                            <w:szCs w:val="24"/>
                          </w:rPr>
                          <w:t>1</w:t>
                        </w:r>
                        <w:r w:rsidRPr="00331B7E">
                          <w:rPr>
                            <w:rFonts w:ascii="Arial" w:eastAsia="宋体" w:hAnsi="Arial" w:cs="Arial"/>
                            <w:kern w:val="0"/>
                            <w:sz w:val="24"/>
                            <w:szCs w:val="24"/>
                          </w:rPr>
                          <w:t>项后的余额为限。</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（五）资产负债表中列示的净额扣除本条（四）后的余额。</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企业应当披露本条（四）所述协议中</w:t>
                        </w:r>
                        <w:proofErr w:type="gramStart"/>
                        <w:r w:rsidRPr="00331B7E">
                          <w:rPr>
                            <w:rFonts w:ascii="Arial" w:eastAsia="宋体" w:hAnsi="Arial" w:cs="Arial"/>
                            <w:kern w:val="0"/>
                            <w:sz w:val="24"/>
                            <w:szCs w:val="24"/>
                          </w:rPr>
                          <w:t>抵销</w:t>
                        </w:r>
                        <w:proofErr w:type="gramEnd"/>
                        <w:r w:rsidRPr="00331B7E">
                          <w:rPr>
                            <w:rFonts w:ascii="Arial" w:eastAsia="宋体" w:hAnsi="Arial" w:cs="Arial"/>
                            <w:kern w:val="0"/>
                            <w:sz w:val="24"/>
                            <w:szCs w:val="24"/>
                          </w:rPr>
                          <w:t>权的条款及其性质等信息，以及不同计量基础的金融工具适用本条时产生的计量差异。</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第四十六条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按照本准则第三章分类为权益工具的可回售工具，企业应当披露以下信息：</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（一）可回售工具的汇总定量信息。</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（二）对于按持有方要求承担的回购或赎回义务，企业的管理目标、政策和程序及其变化。</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（三）回购或赎回可回售工具的预期现金流出金额以及确定方法。</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第四十七条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企业将本准则第三章规定的特殊金融工具在金融</w:t>
                        </w:r>
                        <w:r w:rsidRPr="00331B7E">
                          <w:rPr>
                            <w:rFonts w:ascii="Arial" w:eastAsia="宋体" w:hAnsi="Arial" w:cs="Arial"/>
                            <w:kern w:val="0"/>
                            <w:sz w:val="24"/>
                            <w:szCs w:val="24"/>
                          </w:rPr>
                          <w:lastRenderedPageBreak/>
                          <w:t>负债和权益工具之间重分类的，应当分别披露重分类前后的公允价值或账面价值，以及重分类的时间和原因。</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第四十八条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企业应当披露作为负债或</w:t>
                        </w:r>
                        <w:proofErr w:type="gramStart"/>
                        <w:r w:rsidRPr="00331B7E">
                          <w:rPr>
                            <w:rFonts w:ascii="Arial" w:eastAsia="宋体" w:hAnsi="Arial" w:cs="Arial"/>
                            <w:kern w:val="0"/>
                            <w:sz w:val="24"/>
                            <w:szCs w:val="24"/>
                          </w:rPr>
                          <w:t>或</w:t>
                        </w:r>
                        <w:proofErr w:type="gramEnd"/>
                        <w:r w:rsidRPr="00331B7E">
                          <w:rPr>
                            <w:rFonts w:ascii="Arial" w:eastAsia="宋体" w:hAnsi="Arial" w:cs="Arial"/>
                            <w:kern w:val="0"/>
                            <w:sz w:val="24"/>
                            <w:szCs w:val="24"/>
                          </w:rPr>
                          <w:t>有负债担保物的金融资产的账面价值，以及与该项担保有关的条款和条件。其中，对于已转移金融资产的担保物，转入方有权出售或再抵押的，转出方应当在资产负债表中单独列示该金融资产。</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第四十九条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企业取得的担保物，在担保物所有人未违约时可出售或再抵押的，应当披露其公允价值、已出售或再抵押担保物的公允价值，以及承担的返还义务和使用担保物的条款和条件。</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第五十条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企业应当设置专门的备抵账户，记录每类金融资产因信用损失发生的减值，并披露减值准备的期初余额，本期计提、转回、转销、核销及其他变动的金额和期末余额等信息。</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第五十一条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对于企业发行的包含金融负债和权益工具成分的复合金融工具，嵌入了价值相互关联的多项衍生工具（如可赎回的可转换债务工具）的，应当披露相关特征。</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第五十二条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除短期应付款项之外的金融负债，企业应当披露下列信息：</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（一）本期发生拖欠的金融负债的本金、利息、偿债基金、赎回条款的详细情况。</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（二）发生拖欠的金融负债的期末账面价值。</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（三）在财务报告批准对外报出前，就拖欠事项已采取的补救措施、对债务条款的重新议定等情况。</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企业本期发生了拖欠以外的其他违约情况，且债权人有权在发生违约时要求企业提前偿还的，企业应当按上述要求披露。如果在</w:t>
                        </w:r>
                        <w:proofErr w:type="gramStart"/>
                        <w:r w:rsidRPr="00331B7E">
                          <w:rPr>
                            <w:rFonts w:ascii="Arial" w:eastAsia="宋体" w:hAnsi="Arial" w:cs="Arial"/>
                            <w:kern w:val="0"/>
                            <w:sz w:val="24"/>
                            <w:szCs w:val="24"/>
                          </w:rPr>
                          <w:lastRenderedPageBreak/>
                          <w:t>期末前相关</w:t>
                        </w:r>
                        <w:proofErr w:type="gramEnd"/>
                        <w:r w:rsidRPr="00331B7E">
                          <w:rPr>
                            <w:rFonts w:ascii="Arial" w:eastAsia="宋体" w:hAnsi="Arial" w:cs="Arial"/>
                            <w:kern w:val="0"/>
                            <w:sz w:val="24"/>
                            <w:szCs w:val="24"/>
                          </w:rPr>
                          <w:t>违约情况已得到补救或已重新议定债务条款，则无需披露。</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第三节</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利润表中的列示及相关披露</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第五十三条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企业应当披露与金融工具有关的下列收入、费用、利得或损失：</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一）当期各类金融资产和金融负债所产生的利得或损失。其中，指定为以公允价值计量且其变动计入当期损益的金融资产和金融负债以及交易性金融资产和金融负债的利得或损失应当分别披露。对于可供出售金融资产，应当分别披露当期在其他综合收益中确认的以及当期从权益转入损益的利得或损失。</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（二）除以公允价值计量且其变动计入当期损益的金融资产或金融负债外，按实际利率法计算的金融资产或金融负债产生的利息收入或利息费用总额，以及直接计入当期</w:t>
                        </w:r>
                        <w:proofErr w:type="gramStart"/>
                        <w:r w:rsidRPr="00331B7E">
                          <w:rPr>
                            <w:rFonts w:ascii="Arial" w:eastAsia="宋体" w:hAnsi="Arial" w:cs="Arial"/>
                            <w:kern w:val="0"/>
                            <w:sz w:val="24"/>
                            <w:szCs w:val="24"/>
                          </w:rPr>
                          <w:t>损益但</w:t>
                        </w:r>
                        <w:proofErr w:type="gramEnd"/>
                        <w:r w:rsidRPr="00331B7E">
                          <w:rPr>
                            <w:rFonts w:ascii="Arial" w:eastAsia="宋体" w:hAnsi="Arial" w:cs="Arial"/>
                            <w:kern w:val="0"/>
                            <w:sz w:val="24"/>
                            <w:szCs w:val="24"/>
                          </w:rPr>
                          <w:t>在确定实际利率时未包括的手续费收入或支出。</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（三）企业通过信托和其他托管活动代他人持有资产或进行投资而形成的，直接计入当期损益的手续费收入或支出。</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（四）已发生减值的金融资产产生的利息收入。</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（五）每类金融资产本期发生的减值损失。</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第四节</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套期保值相关披露</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第五十四条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企业应当披露与每类套期有关的下列信息：</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（一）每类套期的描述。</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（二）对套</w:t>
                        </w:r>
                        <w:proofErr w:type="gramStart"/>
                        <w:r w:rsidRPr="00331B7E">
                          <w:rPr>
                            <w:rFonts w:ascii="Arial" w:eastAsia="宋体" w:hAnsi="Arial" w:cs="Arial"/>
                            <w:kern w:val="0"/>
                            <w:sz w:val="24"/>
                            <w:szCs w:val="24"/>
                          </w:rPr>
                          <w:t>期工具</w:t>
                        </w:r>
                        <w:proofErr w:type="gramEnd"/>
                        <w:r w:rsidRPr="00331B7E">
                          <w:rPr>
                            <w:rFonts w:ascii="Arial" w:eastAsia="宋体" w:hAnsi="Arial" w:cs="Arial"/>
                            <w:kern w:val="0"/>
                            <w:sz w:val="24"/>
                            <w:szCs w:val="24"/>
                          </w:rPr>
                          <w:t>的描述及其期末公允价值。</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（三）被套期风险的性质。</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第五十五条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企业应当披露与现金流量套期有关的下列信息：</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lastRenderedPageBreak/>
                          <w:t xml:space="preserve">　　（一）现金流量预期发生期间及其预期影响损益的期间。</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（二）对于前期运用套期会计方法但预期不再发生的交易的描述。</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（三）本期在其他综合收益中确认的金额。</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（四）本期从所有者权益中转出至利润表各项目的金额。</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（五）本期预期交易形成的非金融资产或非金融负债在初始确认时从所有者权益转入的金额。</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第五十六条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企业应当单独披露下列关于套期会计的信息：</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（一）在公允价值套期中，套</w:t>
                        </w:r>
                        <w:proofErr w:type="gramStart"/>
                        <w:r w:rsidRPr="00331B7E">
                          <w:rPr>
                            <w:rFonts w:ascii="Arial" w:eastAsia="宋体" w:hAnsi="Arial" w:cs="Arial"/>
                            <w:kern w:val="0"/>
                            <w:sz w:val="24"/>
                            <w:szCs w:val="24"/>
                          </w:rPr>
                          <w:t>期工具</w:t>
                        </w:r>
                        <w:proofErr w:type="gramEnd"/>
                        <w:r w:rsidRPr="00331B7E">
                          <w:rPr>
                            <w:rFonts w:ascii="Arial" w:eastAsia="宋体" w:hAnsi="Arial" w:cs="Arial"/>
                            <w:kern w:val="0"/>
                            <w:sz w:val="24"/>
                            <w:szCs w:val="24"/>
                          </w:rPr>
                          <w:t>本期形成的利得或损失，以及被套</w:t>
                        </w:r>
                        <w:proofErr w:type="gramStart"/>
                        <w:r w:rsidRPr="00331B7E">
                          <w:rPr>
                            <w:rFonts w:ascii="Arial" w:eastAsia="宋体" w:hAnsi="Arial" w:cs="Arial"/>
                            <w:kern w:val="0"/>
                            <w:sz w:val="24"/>
                            <w:szCs w:val="24"/>
                          </w:rPr>
                          <w:t>期项目</w:t>
                        </w:r>
                        <w:proofErr w:type="gramEnd"/>
                        <w:r w:rsidRPr="00331B7E">
                          <w:rPr>
                            <w:rFonts w:ascii="Arial" w:eastAsia="宋体" w:hAnsi="Arial" w:cs="Arial"/>
                            <w:kern w:val="0"/>
                            <w:sz w:val="24"/>
                            <w:szCs w:val="24"/>
                          </w:rPr>
                          <w:t>因被套期风险形成的利得或损失。</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（二）在现金流量套期中，本期套期无效部分形成的利得或损失。</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w:t>
                        </w:r>
                        <w:r w:rsidRPr="00331B7E">
                          <w:rPr>
                            <w:rFonts w:ascii="Arial" w:eastAsia="宋体" w:hAnsi="Arial" w:cs="Arial"/>
                            <w:kern w:val="0"/>
                            <w:sz w:val="24"/>
                            <w:szCs w:val="24"/>
                          </w:rPr>
                          <w:t>23</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（三）在境外经营净投资套期中，本期套期无效部分形成的利得或损失。</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第五节</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公允价值披露</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第五十七条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除了本准则第五十九条规定情况外，企业应当披露每一类金融资产和金融负债的公允价值，并与账面价值进行比较。对于在资产负债表中相互</w:t>
                        </w:r>
                        <w:proofErr w:type="gramStart"/>
                        <w:r w:rsidRPr="00331B7E">
                          <w:rPr>
                            <w:rFonts w:ascii="Arial" w:eastAsia="宋体" w:hAnsi="Arial" w:cs="Arial"/>
                            <w:kern w:val="0"/>
                            <w:sz w:val="24"/>
                            <w:szCs w:val="24"/>
                          </w:rPr>
                          <w:t>抵销</w:t>
                        </w:r>
                        <w:proofErr w:type="gramEnd"/>
                        <w:r w:rsidRPr="00331B7E">
                          <w:rPr>
                            <w:rFonts w:ascii="Arial" w:eastAsia="宋体" w:hAnsi="Arial" w:cs="Arial"/>
                            <w:kern w:val="0"/>
                            <w:sz w:val="24"/>
                            <w:szCs w:val="24"/>
                          </w:rPr>
                          <w:t>的金融资产和金融负债，其公允价值应当以</w:t>
                        </w:r>
                        <w:proofErr w:type="gramStart"/>
                        <w:r w:rsidRPr="00331B7E">
                          <w:rPr>
                            <w:rFonts w:ascii="Arial" w:eastAsia="宋体" w:hAnsi="Arial" w:cs="Arial"/>
                            <w:kern w:val="0"/>
                            <w:sz w:val="24"/>
                            <w:szCs w:val="24"/>
                          </w:rPr>
                          <w:t>抵销</w:t>
                        </w:r>
                        <w:proofErr w:type="gramEnd"/>
                        <w:r w:rsidRPr="00331B7E">
                          <w:rPr>
                            <w:rFonts w:ascii="Arial" w:eastAsia="宋体" w:hAnsi="Arial" w:cs="Arial"/>
                            <w:kern w:val="0"/>
                            <w:sz w:val="24"/>
                            <w:szCs w:val="24"/>
                          </w:rPr>
                          <w:t>后的金额披露。</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第五十八条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金融资产或金融负债初始确认的公允价值与交易价格存在差异时，如果其公允价值并非基于相同资产或负债在活跃市场中的报价，也非基于仅使用可观察市场数据的估值技术，企业在初始确认金融资产或金融负债时不应确认利得或损失。在此情况</w:t>
                        </w:r>
                        <w:r w:rsidRPr="00331B7E">
                          <w:rPr>
                            <w:rFonts w:ascii="Arial" w:eastAsia="宋体" w:hAnsi="Arial" w:cs="Arial"/>
                            <w:kern w:val="0"/>
                            <w:sz w:val="24"/>
                            <w:szCs w:val="24"/>
                          </w:rPr>
                          <w:lastRenderedPageBreak/>
                          <w:t>下，企业应当按金融资产或金融负债的类型披露下列信息：</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（一）企业在损益中确认交易价格与初始确认的公允价值之间差额时所采用的会计政策，以反映市场参与者对资产或负债进行定价时所考虑的因素（包括时间因素）的变动。</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（二）该项差异期初和期末尚未在损益中确认的金额和本期变动额。</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（三）企业如何认定交易价格并非公允价值的最佳证据，以及确定公允价值的证据。</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第五十九条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企业可以不披露下列金融资产或金融负债的公允价值信息：</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（一）账面价值与公允价值差异很小的金融资产或金融负债（如短期应收账款或应付账款）。</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（二）活跃市场中没有报价且其公允价值无法可靠计量的权益工具投资以及与该工具挂钩的衍生工具。</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（三）包含相机分红特征且其公允价值无法可靠计量的合同。</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第六十条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在第五十九条（二）、（三）所述的情况下，企业应当披露下列信息：</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（一）对金融工具的描述及其账面价值，以及因公允价值无法可靠计量而未披露其公允价值的事实和说明。</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（二）金融工具的相关市场信息。</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（三）企业是否有意图及如何处置这些金融工具。</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（四）已终止确认金融工具的事实，以及终止确认时的账面价值和形成的利得或损失。</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第七章</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与金融工具相关的风险披露</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lastRenderedPageBreak/>
                          <w:t xml:space="preserve">　　第一节</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定性和定量信息</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第六十一条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企业应当披露与各类金融工具风险相关的定性和定量信息，以便财务报表使用者评估报告期末金融工具产生的风险的性质和程度，更好地评价企业所面临的风险敞口。相关风险包括信用风险、流动性风险、市场风险等。</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第六十二条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对金融工具产生的各类风险，企业应当披露下列定性信息：</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（一）风险敞口及其形成原因，以及在本期发生的变化。</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（二）风险管理目标、政策和程序以及计量风险的方法及其在本期发生的变化。</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第六十三条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对金融工具产生的各类风险，企业应当按类别披露下列定量信息：</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（一）期末风险敞口的汇总数据。该数据应当以向内部关键管理人员提供的相关信息为基础。企业运用多种方法管理风险的，披露的信息应当以最相关和可靠的方法为基础。</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（二）按照第六十四条至第七十四条披露的信息。</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（三）期末风险集中度信息，包括管理层确定风险集中度的说明和参考因素（包括交易对手方、地理区域、货币种类、市场类型等），以及</w:t>
                        </w:r>
                        <w:proofErr w:type="gramStart"/>
                        <w:r w:rsidRPr="00331B7E">
                          <w:rPr>
                            <w:rFonts w:ascii="Arial" w:eastAsia="宋体" w:hAnsi="Arial" w:cs="Arial"/>
                            <w:kern w:val="0"/>
                            <w:sz w:val="24"/>
                            <w:szCs w:val="24"/>
                          </w:rPr>
                          <w:t>各风险集中度相关</w:t>
                        </w:r>
                        <w:proofErr w:type="gramEnd"/>
                        <w:r w:rsidRPr="00331B7E">
                          <w:rPr>
                            <w:rFonts w:ascii="Arial" w:eastAsia="宋体" w:hAnsi="Arial" w:cs="Arial"/>
                            <w:kern w:val="0"/>
                            <w:sz w:val="24"/>
                            <w:szCs w:val="24"/>
                          </w:rPr>
                          <w:t>的风险敞口金额。</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上述期末定量信息不能代表企业本期风险敞口情况的，应当进一步提供相关信息。</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第二节</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信用风险披露</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第六十四条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企业应当披露与每类金融工具信用风险有关的下列信息：</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lastRenderedPageBreak/>
                          <w:t xml:space="preserve">　　（一）在不考虑可利用的担保物或其他信用增级的情况下，企业在资产负债表日的最大信用风险敞口。金融工具的账面价值能代表最大信用风险敞口的，无需提供此项披露。</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（二）可利用担保物或其他信用增级的信息及其对最大信用风险敞口的财务影响。</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（三）未逾期且未减值的金融资产的信用质量信息。</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金融资产在资产负债表日的最大信用风险敞口，通常是账面余额减去减值损失的金额（已减去根据本准则规定已</w:t>
                        </w:r>
                        <w:proofErr w:type="gramStart"/>
                        <w:r w:rsidRPr="00331B7E">
                          <w:rPr>
                            <w:rFonts w:ascii="Arial" w:eastAsia="宋体" w:hAnsi="Arial" w:cs="Arial"/>
                            <w:kern w:val="0"/>
                            <w:sz w:val="24"/>
                            <w:szCs w:val="24"/>
                          </w:rPr>
                          <w:t>抵销</w:t>
                        </w:r>
                        <w:proofErr w:type="gramEnd"/>
                        <w:r w:rsidRPr="00331B7E">
                          <w:rPr>
                            <w:rFonts w:ascii="Arial" w:eastAsia="宋体" w:hAnsi="Arial" w:cs="Arial"/>
                            <w:kern w:val="0"/>
                            <w:sz w:val="24"/>
                            <w:szCs w:val="24"/>
                          </w:rPr>
                          <w:t>的金额）。</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第六十五条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企业应当按类披露在资产负债表日已逾期或已减值的金融资产的下列信息：</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（一）已逾期未减值的金融资产的账龄分析。</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（二）已发生单项减值的金融资产的分析，包括判断该金融资产发生减值所考虑的因素。</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第六十六条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企业本期通过取得担保物或其他信用增级所确认的金融资产或非金融资产，应当披露下列信息：</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（一）所确认资产的性质和账面价值。</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（二）对于不易变现的资产，应当披露处置或拟将其用于日常经营的政策等。</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第三节</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流动性风险披露</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第六十七条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企业应当披露金融负债按剩余到期期限进行的到期期限分析，以及管理这些金融负债流动性风险的方法：</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（一）对于非衍生金融负债（包括财务担保合同），到期期限分析应当基于合同剩余到期期限。对于包含嵌入衍生工具的混合金融工具，应当将其整体视为非衍生金融负债进行披露。</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lastRenderedPageBreak/>
                          <w:t xml:space="preserve">　　（二）对于衍生金融负债，如果合同到期期限是理解现金流量时间分布的关键因素，到期期限分析应当基于合同剩余到期期限。</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当企业将所持有的金融资产作为流动性风险管理的一部分，且披露金融资产的到期期限分析使财务报表使用者能够恰当地评估企业流动性风险的性质和范围时，企业应当披露金融资产的到期期限分析。</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流动性风险，是指企业在履行以交付现金或其他金融资产的方式结算的义务时发生资金短缺的风险。</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第六十八条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企业在披露到期期限分析时，应当运用职业判断确定适当的时间段。列入各时间段内按照第六十七条所披露的金额，应当是未经折现的合同现金流量。</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企业可以但不限于按下列时间段进行到期期限分析：</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（一）一个月以内（含本数，下同）；</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（二）一个月至三个月以内；</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（三）三个月至一年以内；</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（四）一年至五年以内；</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（五）五年以上。</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第六十九条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债权人可以选择收回债权时间的，债务人应当将相应的金融负债列入债权人可以要求收回债权的最早时间段内。</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债务人应付债务金额不固定的，应当根据资产负债表日的情况确定到期期限分析所披露的金额。如分期付款的，债务人应当把每期将支付的款项列入相应的最早时间段内。</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财务担保合同形成的金融负债，担保人应当将最大担保金额列入相关方可以要求支付的最早时间段内。</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lastRenderedPageBreak/>
                          <w:t xml:space="preserve">　　第七十条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企业应当披露流动性风险敞口汇总定量信息的确定方法。此类汇总定量信息中的现金（或另一项金融资产）流出符合以下条件之一的，应当说明相关事实，并提供有助于评价该风险程度的额外定量信息：</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（一）该现金的流出可能显著早于汇总定量信息中所列示的时间。</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（二）该现金的流出可能与汇总定量信息中所列示的金额存在重大差异。</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如果以上信息已包括在本准则第六十七条规定的到期期限分析中，则无需披露上述额外定量信息。</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第四节</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市场风险披露</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第七十一条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金融工具的市场风险，是指金融工具的公允价值或未来现金流量因市场价格变动而发生波动的风险，包括汇率风险、利率风险和其他价格风险。</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汇率风险，是指金融工具的公允价值或未来现金流量因外汇汇率变动而发生波动的风险。汇率风险可源于以记账本位币之外的外币进行计价的金融工具。</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利率风险，是指金融工具的公允价值或未来现金流量因市场利率变动而发生波动的风险。利率风险可源于已确认的计息金融工具和未确认的金融工具（如某些贷款承诺）。</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其他价格风险，是指汇率风险和利率风险以外的市场价格变动而发生波动的风险，无论这些变动是由于与单项金融工具或其发行方有关的因素而引起的，还是由于与市场内交易的所有类似金融工具有关的因素而引起的。其他价格风险可源于商品价格或权益工具</w:t>
                        </w:r>
                        <w:r w:rsidRPr="00331B7E">
                          <w:rPr>
                            <w:rFonts w:ascii="Arial" w:eastAsia="宋体" w:hAnsi="Arial" w:cs="Arial"/>
                            <w:kern w:val="0"/>
                            <w:sz w:val="24"/>
                            <w:szCs w:val="24"/>
                          </w:rPr>
                          <w:lastRenderedPageBreak/>
                          <w:t>价格等的变化。</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第七十二条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在对市场风险进行敏感性分析时，应当以整个企业为基础，披露下列信息：</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（一）资产负债表日所面临的各类市场风险的敏感性分析。该项披露应当反映资产负债表</w:t>
                        </w:r>
                        <w:proofErr w:type="gramStart"/>
                        <w:r w:rsidRPr="00331B7E">
                          <w:rPr>
                            <w:rFonts w:ascii="Arial" w:eastAsia="宋体" w:hAnsi="Arial" w:cs="Arial"/>
                            <w:kern w:val="0"/>
                            <w:sz w:val="24"/>
                            <w:szCs w:val="24"/>
                          </w:rPr>
                          <w:t>日相关</w:t>
                        </w:r>
                        <w:proofErr w:type="gramEnd"/>
                        <w:r w:rsidRPr="00331B7E">
                          <w:rPr>
                            <w:rFonts w:ascii="Arial" w:eastAsia="宋体" w:hAnsi="Arial" w:cs="Arial"/>
                            <w:kern w:val="0"/>
                            <w:sz w:val="24"/>
                            <w:szCs w:val="24"/>
                          </w:rPr>
                          <w:t>风险变量发生合理、可能的变动时，将对企业损益和所有者权益产生的影响。</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对具有重大汇率风险敞口的每一种货币，应当分币种进行敏感性分析。</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（二）本期敏感性分析所使用的方法和假设，以及本期发生的变化和原因。</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第七十三条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企业采用风险价值法或类似方法进行敏感性分析能够反映金融风险变量之间（如利率和汇率之间等）的关联性，且企业已采用该种方法管理金融风险的，可不按照第七十二条的规定进行披露，但应当披露下列信息：</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（一）用于该种敏感性分析的方法、选用的主要参数和假设。</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（二）所用方法的目的，以及该方法提供的信息在反映相关资产和负债公允价值方面的局限性。</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第七十四条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按照第七十二条或第七十三条对敏感性分析的披露不能反映金融工具市场风险的（例如，期末的风险敞口不能反映当期的风险状况），企业应当披露这一事实及其原因。</w:t>
                        </w:r>
                      </w:p>
                      <w:p w:rsidR="00331B7E" w:rsidRPr="00331B7E" w:rsidRDefault="00331B7E" w:rsidP="00331B7E">
                        <w:pPr>
                          <w:widowControl/>
                          <w:spacing w:line="432" w:lineRule="auto"/>
                          <w:jc w:val="center"/>
                          <w:rPr>
                            <w:rFonts w:ascii="Arial" w:eastAsia="宋体" w:hAnsi="Arial" w:cs="Arial"/>
                            <w:kern w:val="0"/>
                            <w:sz w:val="24"/>
                            <w:szCs w:val="24"/>
                          </w:rPr>
                        </w:pPr>
                        <w:r w:rsidRPr="00331B7E">
                          <w:rPr>
                            <w:rFonts w:ascii="Arial" w:eastAsia="宋体" w:hAnsi="Arial" w:cs="Arial"/>
                            <w:b/>
                            <w:bCs/>
                            <w:kern w:val="0"/>
                            <w:sz w:val="24"/>
                            <w:szCs w:val="24"/>
                          </w:rPr>
                          <w:t>第八章</w:t>
                        </w:r>
                        <w:r w:rsidRPr="00331B7E">
                          <w:rPr>
                            <w:rFonts w:ascii="Arial" w:eastAsia="宋体" w:hAnsi="Arial" w:cs="Arial"/>
                            <w:b/>
                            <w:bCs/>
                            <w:kern w:val="0"/>
                            <w:sz w:val="24"/>
                            <w:szCs w:val="24"/>
                          </w:rPr>
                          <w:t xml:space="preserve"> </w:t>
                        </w:r>
                        <w:r w:rsidRPr="00331B7E">
                          <w:rPr>
                            <w:rFonts w:ascii="Arial" w:eastAsia="宋体" w:hAnsi="Arial" w:cs="Arial"/>
                            <w:b/>
                            <w:bCs/>
                            <w:kern w:val="0"/>
                            <w:sz w:val="24"/>
                            <w:szCs w:val="24"/>
                          </w:rPr>
                          <w:t>金融资产转移的披露</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第七十五条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企业应当就资产负债表</w:t>
                        </w:r>
                        <w:proofErr w:type="gramStart"/>
                        <w:r w:rsidRPr="00331B7E">
                          <w:rPr>
                            <w:rFonts w:ascii="Arial" w:eastAsia="宋体" w:hAnsi="Arial" w:cs="Arial"/>
                            <w:kern w:val="0"/>
                            <w:sz w:val="24"/>
                            <w:szCs w:val="24"/>
                          </w:rPr>
                          <w:t>日存在</w:t>
                        </w:r>
                        <w:proofErr w:type="gramEnd"/>
                        <w:r w:rsidRPr="00331B7E">
                          <w:rPr>
                            <w:rFonts w:ascii="Arial" w:eastAsia="宋体" w:hAnsi="Arial" w:cs="Arial"/>
                            <w:kern w:val="0"/>
                            <w:sz w:val="24"/>
                            <w:szCs w:val="24"/>
                          </w:rPr>
                          <w:t>的所有未终止确认的已转移金融资产，以及对已转移金融资产的继续涉入，按本准则要求单独披露。</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lastRenderedPageBreak/>
                          <w:t xml:space="preserve">　　本章所述的金融资产转移，是指下列两种情形：</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（一）将收取金融资产现金流量的合同权利转移给另一方。</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（二）将金融资产整体或部分转移给另一方，但保留收取金融资产现金流量的合同权利，并承担将收取的现金流量支付给一个或多个收款方的合同义务。</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第七十六条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企业对于金融资产转移所披露的信息，应当有助于财务报表使用者了解</w:t>
                        </w:r>
                        <w:proofErr w:type="gramStart"/>
                        <w:r w:rsidRPr="00331B7E">
                          <w:rPr>
                            <w:rFonts w:ascii="Arial" w:eastAsia="宋体" w:hAnsi="Arial" w:cs="Arial"/>
                            <w:kern w:val="0"/>
                            <w:sz w:val="24"/>
                            <w:szCs w:val="24"/>
                          </w:rPr>
                          <w:t>未整体</w:t>
                        </w:r>
                        <w:proofErr w:type="gramEnd"/>
                        <w:r w:rsidRPr="00331B7E">
                          <w:rPr>
                            <w:rFonts w:ascii="Arial" w:eastAsia="宋体" w:hAnsi="Arial" w:cs="Arial"/>
                            <w:kern w:val="0"/>
                            <w:sz w:val="24"/>
                            <w:szCs w:val="24"/>
                          </w:rPr>
                          <w:t>终止确认的已转移金融资产与相关负债之间的关系，评价企业继续涉入已终止确认金融资产的性质和相关风险。</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企业按照本准则第七十八条和第七十九条所披露信息不能满足本条前款要求的，应当披露其他补充信息。</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第七十七条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本章所述的继续涉入，是指企业保留了已转移金融资产中内在的合同权利或义务，或者取得了与已转移金融资产相关的新合同权利或义务。转出方与转入方签订的转让协议或与第三方单独签订的与转让相关的协议，都有可能形成对已转移金融资产的继续涉入。如果企业对已转移金融资产的未来业绩不享有任何利益，也不承担与已转移金融资产相关的任何未来支付义务，则不形成继续涉入。以下情形不形成继续涉入：</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（一）与转移的真实性以及合理、诚信和公平交易等原则有关的常规声明和保证，这些声明和保证可能因法律行为导致转移无效。</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（二）以公允价值回购已转移金融资产的远期、期权和其他合同。</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（三）使企业保留了获取金融资产现金流量的合同权利但承担了将这些现金流量支付给一个或多个收款方的合同义务的安排，且</w:t>
                        </w:r>
                        <w:r w:rsidRPr="00331B7E">
                          <w:rPr>
                            <w:rFonts w:ascii="Arial" w:eastAsia="宋体" w:hAnsi="Arial" w:cs="Arial"/>
                            <w:kern w:val="0"/>
                            <w:sz w:val="24"/>
                            <w:szCs w:val="24"/>
                          </w:rPr>
                          <w:lastRenderedPageBreak/>
                          <w:t>这类安排满足《企业会计准则第</w:t>
                        </w:r>
                        <w:r w:rsidRPr="00331B7E">
                          <w:rPr>
                            <w:rFonts w:ascii="Arial" w:eastAsia="宋体" w:hAnsi="Arial" w:cs="Arial"/>
                            <w:kern w:val="0"/>
                            <w:sz w:val="24"/>
                            <w:szCs w:val="24"/>
                          </w:rPr>
                          <w:t>23</w:t>
                        </w:r>
                        <w:r w:rsidRPr="00331B7E">
                          <w:rPr>
                            <w:rFonts w:ascii="Arial" w:eastAsia="宋体" w:hAnsi="Arial" w:cs="Arial"/>
                            <w:kern w:val="0"/>
                            <w:sz w:val="24"/>
                            <w:szCs w:val="24"/>
                          </w:rPr>
                          <w:t>号</w:t>
                        </w:r>
                        <w:r w:rsidRPr="00331B7E">
                          <w:rPr>
                            <w:rFonts w:ascii="Arial" w:eastAsia="宋体" w:hAnsi="Arial" w:cs="Arial"/>
                            <w:kern w:val="0"/>
                            <w:sz w:val="24"/>
                            <w:szCs w:val="24"/>
                          </w:rPr>
                          <w:t>——</w:t>
                        </w:r>
                        <w:r w:rsidRPr="00331B7E">
                          <w:rPr>
                            <w:rFonts w:ascii="Arial" w:eastAsia="宋体" w:hAnsi="Arial" w:cs="Arial"/>
                            <w:kern w:val="0"/>
                            <w:sz w:val="24"/>
                            <w:szCs w:val="24"/>
                          </w:rPr>
                          <w:t>金融资产转移》第四条（二）中三个条件。</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第七十八条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对于已转移但</w:t>
                        </w:r>
                        <w:proofErr w:type="gramStart"/>
                        <w:r w:rsidRPr="00331B7E">
                          <w:rPr>
                            <w:rFonts w:ascii="Arial" w:eastAsia="宋体" w:hAnsi="Arial" w:cs="Arial"/>
                            <w:kern w:val="0"/>
                            <w:sz w:val="24"/>
                            <w:szCs w:val="24"/>
                          </w:rPr>
                          <w:t>未整体</w:t>
                        </w:r>
                        <w:proofErr w:type="gramEnd"/>
                        <w:r w:rsidRPr="00331B7E">
                          <w:rPr>
                            <w:rFonts w:ascii="Arial" w:eastAsia="宋体" w:hAnsi="Arial" w:cs="Arial"/>
                            <w:kern w:val="0"/>
                            <w:sz w:val="24"/>
                            <w:szCs w:val="24"/>
                          </w:rPr>
                          <w:t>终止确认的金融资产，应当按照类别披露下列信息：</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（一）已转移金融资产的性质；</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（二）仍保留的与所有权有关的风险和报酬的性质；</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（三）已转移金融资产与相关负债之间关系的性质，包括因转移引起的对企业使用已转移金融资产的限制；</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四）在转移金融资产形成的相关负债的交易对手方仅对已转移金融资产有追索权的情况下，应当以表格形式披露所转移金融资产和相关负债的公允价值以及净头寸，即已转移金融资产和相关负债公允价值之间的差额；</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（五）继续确认已转移金融资产整体的，披露已转移金融资产和相关负债的账面价值；</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（六）按继续涉</w:t>
                        </w:r>
                        <w:proofErr w:type="gramStart"/>
                        <w:r w:rsidRPr="00331B7E">
                          <w:rPr>
                            <w:rFonts w:ascii="Arial" w:eastAsia="宋体" w:hAnsi="Arial" w:cs="Arial"/>
                            <w:kern w:val="0"/>
                            <w:sz w:val="24"/>
                            <w:szCs w:val="24"/>
                          </w:rPr>
                          <w:t>入程度</w:t>
                        </w:r>
                        <w:proofErr w:type="gramEnd"/>
                        <w:r w:rsidRPr="00331B7E">
                          <w:rPr>
                            <w:rFonts w:ascii="Arial" w:eastAsia="宋体" w:hAnsi="Arial" w:cs="Arial"/>
                            <w:kern w:val="0"/>
                            <w:sz w:val="24"/>
                            <w:szCs w:val="24"/>
                          </w:rPr>
                          <w:t>确认所转移金融资产的，披露转移前该金融资产整体的账面价值、按继续涉</w:t>
                        </w:r>
                        <w:proofErr w:type="gramStart"/>
                        <w:r w:rsidRPr="00331B7E">
                          <w:rPr>
                            <w:rFonts w:ascii="Arial" w:eastAsia="宋体" w:hAnsi="Arial" w:cs="Arial"/>
                            <w:kern w:val="0"/>
                            <w:sz w:val="24"/>
                            <w:szCs w:val="24"/>
                          </w:rPr>
                          <w:t>入程度</w:t>
                        </w:r>
                        <w:proofErr w:type="gramEnd"/>
                        <w:r w:rsidRPr="00331B7E">
                          <w:rPr>
                            <w:rFonts w:ascii="Arial" w:eastAsia="宋体" w:hAnsi="Arial" w:cs="Arial"/>
                            <w:kern w:val="0"/>
                            <w:sz w:val="24"/>
                            <w:szCs w:val="24"/>
                          </w:rPr>
                          <w:t>确认的资产和相关负债的账面价值。</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第七十九条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对于</w:t>
                        </w:r>
                        <w:proofErr w:type="gramStart"/>
                        <w:r w:rsidRPr="00331B7E">
                          <w:rPr>
                            <w:rFonts w:ascii="Arial" w:eastAsia="宋体" w:hAnsi="Arial" w:cs="Arial"/>
                            <w:kern w:val="0"/>
                            <w:sz w:val="24"/>
                            <w:szCs w:val="24"/>
                          </w:rPr>
                          <w:t>已整体</w:t>
                        </w:r>
                        <w:proofErr w:type="gramEnd"/>
                        <w:r w:rsidRPr="00331B7E">
                          <w:rPr>
                            <w:rFonts w:ascii="Arial" w:eastAsia="宋体" w:hAnsi="Arial" w:cs="Arial"/>
                            <w:kern w:val="0"/>
                            <w:sz w:val="24"/>
                            <w:szCs w:val="24"/>
                          </w:rPr>
                          <w:t>终止确认但转出方继续涉入已转移金融资产的，应当至少按照类别披露下列信息：</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（一）因继续涉入确认的资产和负债的账面价值和公允价值，以及在资产负债表中对应的项目；</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（二）因继续涉</w:t>
                        </w:r>
                        <w:proofErr w:type="gramStart"/>
                        <w:r w:rsidRPr="00331B7E">
                          <w:rPr>
                            <w:rFonts w:ascii="Arial" w:eastAsia="宋体" w:hAnsi="Arial" w:cs="Arial"/>
                            <w:kern w:val="0"/>
                            <w:sz w:val="24"/>
                            <w:szCs w:val="24"/>
                          </w:rPr>
                          <w:t>入导致</w:t>
                        </w:r>
                        <w:proofErr w:type="gramEnd"/>
                        <w:r w:rsidRPr="00331B7E">
                          <w:rPr>
                            <w:rFonts w:ascii="Arial" w:eastAsia="宋体" w:hAnsi="Arial" w:cs="Arial"/>
                            <w:kern w:val="0"/>
                            <w:sz w:val="24"/>
                            <w:szCs w:val="24"/>
                          </w:rPr>
                          <w:t>企业发生损失的最大风险敞口及确定方法；</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（三）应当或可能回购已终止确认的金融资产需要支付的未折</w:t>
                        </w:r>
                        <w:r w:rsidRPr="00331B7E">
                          <w:rPr>
                            <w:rFonts w:ascii="Arial" w:eastAsia="宋体" w:hAnsi="Arial" w:cs="Arial"/>
                            <w:kern w:val="0"/>
                            <w:sz w:val="24"/>
                            <w:szCs w:val="24"/>
                          </w:rPr>
                          <w:lastRenderedPageBreak/>
                          <w:t>现现金流量（如期权协议中的行权价格）或其他应向转入方支付的款项，以及对这些现金流量或款项的到期期限分析。如果到期期限可能为一个区间，应当以企业必须或可能支付的最早日期为依据归入相应的时间段。到期期限分析应当分别反映企业应当支付的现金流量（如远期合同）、企业可能支付的现金流量（如签出看跌期权）以及企业可选择支付的现金流量（如购入看涨期权）。在现金流量不固定的情形下，上述金额应当基于每个资产负债表日的情况披露；</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（四）对本条（一）至（三）定量信息的解释性说明，包括对已转移金融资产、继续涉入的性质和目的，以及企业所面临风险的描述等。其中，对企业所面临风险的描述包括以下各项：</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w:t>
                        </w:r>
                        <w:r w:rsidRPr="00331B7E">
                          <w:rPr>
                            <w:rFonts w:ascii="Arial" w:eastAsia="宋体" w:hAnsi="Arial" w:cs="Arial"/>
                            <w:kern w:val="0"/>
                            <w:sz w:val="24"/>
                            <w:szCs w:val="24"/>
                          </w:rPr>
                          <w:t>1</w:t>
                        </w:r>
                        <w:r w:rsidRPr="00331B7E">
                          <w:rPr>
                            <w:rFonts w:ascii="Arial" w:eastAsia="宋体" w:hAnsi="Arial" w:cs="Arial"/>
                            <w:kern w:val="0"/>
                            <w:sz w:val="24"/>
                            <w:szCs w:val="24"/>
                          </w:rPr>
                          <w:t>．对继续涉入已终止确认金融资产的风险进行管理的方法。</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w:t>
                        </w:r>
                        <w:r w:rsidRPr="00331B7E">
                          <w:rPr>
                            <w:rFonts w:ascii="Arial" w:eastAsia="宋体" w:hAnsi="Arial" w:cs="Arial"/>
                            <w:kern w:val="0"/>
                            <w:sz w:val="24"/>
                            <w:szCs w:val="24"/>
                          </w:rPr>
                          <w:t>2</w:t>
                        </w:r>
                        <w:r w:rsidRPr="00331B7E">
                          <w:rPr>
                            <w:rFonts w:ascii="Arial" w:eastAsia="宋体" w:hAnsi="Arial" w:cs="Arial"/>
                            <w:kern w:val="0"/>
                            <w:sz w:val="24"/>
                            <w:szCs w:val="24"/>
                          </w:rPr>
                          <w:t>．企业是否应先于其他方承担有关损失，以及先于本企业承担损失的其他方应承担损失的顺序及金额。</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w:t>
                        </w:r>
                        <w:r w:rsidRPr="00331B7E">
                          <w:rPr>
                            <w:rFonts w:ascii="Arial" w:eastAsia="宋体" w:hAnsi="Arial" w:cs="Arial"/>
                            <w:kern w:val="0"/>
                            <w:sz w:val="24"/>
                            <w:szCs w:val="24"/>
                          </w:rPr>
                          <w:t>3</w:t>
                        </w:r>
                        <w:r w:rsidRPr="00331B7E">
                          <w:rPr>
                            <w:rFonts w:ascii="Arial" w:eastAsia="宋体" w:hAnsi="Arial" w:cs="Arial"/>
                            <w:kern w:val="0"/>
                            <w:sz w:val="24"/>
                            <w:szCs w:val="24"/>
                          </w:rPr>
                          <w:t>．向已转移金融资产提供财务支持或回购该金融资产的义务的触发条件。</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（五）金融资产</w:t>
                        </w:r>
                        <w:proofErr w:type="gramStart"/>
                        <w:r w:rsidRPr="00331B7E">
                          <w:rPr>
                            <w:rFonts w:ascii="Arial" w:eastAsia="宋体" w:hAnsi="Arial" w:cs="Arial"/>
                            <w:kern w:val="0"/>
                            <w:sz w:val="24"/>
                            <w:szCs w:val="24"/>
                          </w:rPr>
                          <w:t>转移日确认</w:t>
                        </w:r>
                        <w:proofErr w:type="gramEnd"/>
                        <w:r w:rsidRPr="00331B7E">
                          <w:rPr>
                            <w:rFonts w:ascii="Arial" w:eastAsia="宋体" w:hAnsi="Arial" w:cs="Arial"/>
                            <w:kern w:val="0"/>
                            <w:sz w:val="24"/>
                            <w:szCs w:val="24"/>
                          </w:rPr>
                          <w:t>的利得或损失，以及因继续涉入已终止确认金融资产当期和累计确认的收益或费用（如衍生工具的公允价值变动）。</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（六）终止确认产生的收款总额在本期分布</w:t>
                        </w:r>
                        <w:proofErr w:type="gramStart"/>
                        <w:r w:rsidRPr="00331B7E">
                          <w:rPr>
                            <w:rFonts w:ascii="Arial" w:eastAsia="宋体" w:hAnsi="Arial" w:cs="Arial"/>
                            <w:kern w:val="0"/>
                            <w:sz w:val="24"/>
                            <w:szCs w:val="24"/>
                          </w:rPr>
                          <w:t>不</w:t>
                        </w:r>
                        <w:proofErr w:type="gramEnd"/>
                        <w:r w:rsidRPr="00331B7E">
                          <w:rPr>
                            <w:rFonts w:ascii="Arial" w:eastAsia="宋体" w:hAnsi="Arial" w:cs="Arial"/>
                            <w:kern w:val="0"/>
                            <w:sz w:val="24"/>
                            <w:szCs w:val="24"/>
                          </w:rPr>
                          <w:t>均衡的（例如大部分转移金额在临近报告期末发生），应当披露本期最大转移活动发生的时间段、该段期间所确认的金额（如相关利得或损失）和收款总额。</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企业在披露本条所规定的信息时，应当按照其继续涉</w:t>
                        </w:r>
                        <w:proofErr w:type="gramStart"/>
                        <w:r w:rsidRPr="00331B7E">
                          <w:rPr>
                            <w:rFonts w:ascii="Arial" w:eastAsia="宋体" w:hAnsi="Arial" w:cs="Arial"/>
                            <w:kern w:val="0"/>
                            <w:sz w:val="24"/>
                            <w:szCs w:val="24"/>
                          </w:rPr>
                          <w:t>入面临</w:t>
                        </w:r>
                        <w:proofErr w:type="gramEnd"/>
                        <w:r w:rsidRPr="00331B7E">
                          <w:rPr>
                            <w:rFonts w:ascii="Arial" w:eastAsia="宋体" w:hAnsi="Arial" w:cs="Arial"/>
                            <w:kern w:val="0"/>
                            <w:sz w:val="24"/>
                            <w:szCs w:val="24"/>
                          </w:rPr>
                          <w:t>的风险敞口类型分类汇总披露。例如，可按金融工具类别（如担保或</w:t>
                        </w:r>
                        <w:r w:rsidRPr="00331B7E">
                          <w:rPr>
                            <w:rFonts w:ascii="Arial" w:eastAsia="宋体" w:hAnsi="Arial" w:cs="Arial"/>
                            <w:kern w:val="0"/>
                            <w:sz w:val="24"/>
                            <w:szCs w:val="24"/>
                          </w:rPr>
                          <w:lastRenderedPageBreak/>
                          <w:t>看涨期权）或转让类型（如应收账款保理、证券化和融券）分类汇总披露。企业对某项终止确认的金融资产存在多种继续涉</w:t>
                        </w:r>
                        <w:proofErr w:type="gramStart"/>
                        <w:r w:rsidRPr="00331B7E">
                          <w:rPr>
                            <w:rFonts w:ascii="Arial" w:eastAsia="宋体" w:hAnsi="Arial" w:cs="Arial"/>
                            <w:kern w:val="0"/>
                            <w:sz w:val="24"/>
                            <w:szCs w:val="24"/>
                          </w:rPr>
                          <w:t>入方式</w:t>
                        </w:r>
                        <w:proofErr w:type="gramEnd"/>
                        <w:r w:rsidRPr="00331B7E">
                          <w:rPr>
                            <w:rFonts w:ascii="Arial" w:eastAsia="宋体" w:hAnsi="Arial" w:cs="Arial"/>
                            <w:kern w:val="0"/>
                            <w:sz w:val="24"/>
                            <w:szCs w:val="24"/>
                          </w:rPr>
                          <w:t>的，可按其中一类汇总披露。</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第八十条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企业按照第七十七条确定是否继续涉入已转移金融资产时，应当以自身财务报告为基础进行考虑。</w:t>
                        </w:r>
                      </w:p>
                      <w:p w:rsidR="00331B7E" w:rsidRPr="00331B7E" w:rsidRDefault="00331B7E" w:rsidP="00331B7E">
                        <w:pPr>
                          <w:widowControl/>
                          <w:spacing w:line="432" w:lineRule="auto"/>
                          <w:jc w:val="center"/>
                          <w:rPr>
                            <w:rFonts w:ascii="Arial" w:eastAsia="宋体" w:hAnsi="Arial" w:cs="Arial"/>
                            <w:kern w:val="0"/>
                            <w:sz w:val="24"/>
                            <w:szCs w:val="24"/>
                          </w:rPr>
                        </w:pPr>
                        <w:r w:rsidRPr="00331B7E">
                          <w:rPr>
                            <w:rFonts w:ascii="Arial" w:eastAsia="宋体" w:hAnsi="Arial" w:cs="Arial"/>
                            <w:b/>
                            <w:bCs/>
                            <w:kern w:val="0"/>
                            <w:sz w:val="24"/>
                            <w:szCs w:val="24"/>
                          </w:rPr>
                          <w:t>第九章</w:t>
                        </w:r>
                        <w:r w:rsidRPr="00331B7E">
                          <w:rPr>
                            <w:rFonts w:ascii="Arial" w:eastAsia="宋体" w:hAnsi="Arial" w:cs="Arial"/>
                            <w:b/>
                            <w:bCs/>
                            <w:kern w:val="0"/>
                            <w:sz w:val="24"/>
                            <w:szCs w:val="24"/>
                          </w:rPr>
                          <w:t xml:space="preserve"> </w:t>
                        </w:r>
                        <w:r w:rsidRPr="00331B7E">
                          <w:rPr>
                            <w:rFonts w:ascii="Arial" w:eastAsia="宋体" w:hAnsi="Arial" w:cs="Arial"/>
                            <w:b/>
                            <w:bCs/>
                            <w:kern w:val="0"/>
                            <w:sz w:val="24"/>
                            <w:szCs w:val="24"/>
                          </w:rPr>
                          <w:t>衔接规定</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第八十一条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对于本准则施行之前存在的金融工具，其会计处理与本准则规定不一致的，应当按照《企业会计准则第</w:t>
                        </w:r>
                        <w:r w:rsidRPr="00331B7E">
                          <w:rPr>
                            <w:rFonts w:ascii="Arial" w:eastAsia="宋体" w:hAnsi="Arial" w:cs="Arial"/>
                            <w:kern w:val="0"/>
                            <w:sz w:val="24"/>
                            <w:szCs w:val="24"/>
                          </w:rPr>
                          <w:t>28</w:t>
                        </w:r>
                        <w:r w:rsidRPr="00331B7E">
                          <w:rPr>
                            <w:rFonts w:ascii="Arial" w:eastAsia="宋体" w:hAnsi="Arial" w:cs="Arial"/>
                            <w:kern w:val="0"/>
                            <w:sz w:val="24"/>
                            <w:szCs w:val="24"/>
                          </w:rPr>
                          <w:t>号</w:t>
                        </w:r>
                        <w:r w:rsidRPr="00331B7E">
                          <w:rPr>
                            <w:rFonts w:ascii="Arial" w:eastAsia="宋体" w:hAnsi="Arial" w:cs="Arial"/>
                            <w:kern w:val="0"/>
                            <w:sz w:val="24"/>
                            <w:szCs w:val="24"/>
                          </w:rPr>
                          <w:t>——</w:t>
                        </w:r>
                        <w:r w:rsidRPr="00331B7E">
                          <w:rPr>
                            <w:rFonts w:ascii="Arial" w:eastAsia="宋体" w:hAnsi="Arial" w:cs="Arial"/>
                            <w:kern w:val="0"/>
                            <w:sz w:val="24"/>
                            <w:szCs w:val="24"/>
                          </w:rPr>
                          <w:t>会计政策、会计估计变更和差错更正》的规定采用追溯调整法进行处理。追溯调整不切实可行的，则应当采用未来适用法。</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在对外提供比较期间的财务报表时，对于因会计政策变更产生的累积影响数，应当调整比较财务报表最早期间的期初留存收益，涉及财务报表其他相关项目的数字也应当一并调整。</w:t>
                        </w:r>
                      </w:p>
                      <w:p w:rsidR="00331B7E" w:rsidRPr="00331B7E" w:rsidRDefault="00331B7E" w:rsidP="00331B7E">
                        <w:pPr>
                          <w:widowControl/>
                          <w:spacing w:line="432" w:lineRule="auto"/>
                          <w:jc w:val="center"/>
                          <w:rPr>
                            <w:rFonts w:ascii="Arial" w:eastAsia="宋体" w:hAnsi="Arial" w:cs="Arial"/>
                            <w:kern w:val="0"/>
                            <w:sz w:val="24"/>
                            <w:szCs w:val="24"/>
                          </w:rPr>
                        </w:pPr>
                        <w:r w:rsidRPr="00331B7E">
                          <w:rPr>
                            <w:rFonts w:ascii="Arial" w:eastAsia="宋体" w:hAnsi="Arial" w:cs="Arial"/>
                            <w:b/>
                            <w:bCs/>
                            <w:kern w:val="0"/>
                            <w:sz w:val="24"/>
                            <w:szCs w:val="24"/>
                          </w:rPr>
                          <w:t>第十章</w:t>
                        </w:r>
                        <w:r w:rsidRPr="00331B7E">
                          <w:rPr>
                            <w:rFonts w:ascii="Arial" w:eastAsia="宋体" w:hAnsi="Arial" w:cs="Arial"/>
                            <w:b/>
                            <w:bCs/>
                            <w:kern w:val="0"/>
                            <w:sz w:val="24"/>
                            <w:szCs w:val="24"/>
                          </w:rPr>
                          <w:t xml:space="preserve"> </w:t>
                        </w:r>
                        <w:r w:rsidRPr="00331B7E">
                          <w:rPr>
                            <w:rFonts w:ascii="Arial" w:eastAsia="宋体" w:hAnsi="Arial" w:cs="Arial"/>
                            <w:b/>
                            <w:bCs/>
                            <w:kern w:val="0"/>
                            <w:sz w:val="24"/>
                            <w:szCs w:val="24"/>
                          </w:rPr>
                          <w:t>附则</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第八十二条</w:t>
                        </w:r>
                        <w:r w:rsidRPr="00331B7E">
                          <w:rPr>
                            <w:rFonts w:ascii="Arial" w:eastAsia="宋体" w:hAnsi="Arial" w:cs="Arial"/>
                            <w:kern w:val="0"/>
                            <w:sz w:val="24"/>
                            <w:szCs w:val="24"/>
                          </w:rPr>
                          <w:t xml:space="preserve"> </w:t>
                        </w:r>
                        <w:r w:rsidRPr="00331B7E">
                          <w:rPr>
                            <w:rFonts w:ascii="Arial" w:eastAsia="宋体" w:hAnsi="Arial" w:cs="Arial"/>
                            <w:kern w:val="0"/>
                            <w:sz w:val="24"/>
                            <w:szCs w:val="24"/>
                          </w:rPr>
                          <w:t>企业应当在</w:t>
                        </w:r>
                        <w:r w:rsidRPr="00331B7E">
                          <w:rPr>
                            <w:rFonts w:ascii="Arial" w:eastAsia="宋体" w:hAnsi="Arial" w:cs="Arial"/>
                            <w:kern w:val="0"/>
                            <w:sz w:val="24"/>
                            <w:szCs w:val="24"/>
                          </w:rPr>
                          <w:t>2014</w:t>
                        </w:r>
                        <w:r w:rsidRPr="00331B7E">
                          <w:rPr>
                            <w:rFonts w:ascii="Arial" w:eastAsia="宋体" w:hAnsi="Arial" w:cs="Arial"/>
                            <w:kern w:val="0"/>
                            <w:sz w:val="24"/>
                            <w:szCs w:val="24"/>
                          </w:rPr>
                          <w:t>年年度及以后期间的财务报告中按照本准则要求对金融工具进行列报。</w:t>
                        </w:r>
                      </w:p>
                    </w:tc>
                  </w:tr>
                  <w:tr w:rsidR="00331B7E" w:rsidRPr="00331B7E">
                    <w:trPr>
                      <w:tblCellSpacing w:w="0" w:type="dxa"/>
                      <w:jc w:val="center"/>
                    </w:trPr>
                    <w:tc>
                      <w:tcPr>
                        <w:tcW w:w="550" w:type="pct"/>
                        <w:hideMark/>
                      </w:tcPr>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lastRenderedPageBreak/>
                          <w:t xml:space="preserve">  </w:t>
                        </w:r>
                      </w:p>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附件下载</w:t>
                        </w:r>
                        <w:r w:rsidRPr="00331B7E">
                          <w:rPr>
                            <w:rFonts w:ascii="Arial" w:eastAsia="宋体" w:hAnsi="Arial" w:cs="Arial"/>
                            <w:kern w:val="0"/>
                            <w:sz w:val="24"/>
                            <w:szCs w:val="24"/>
                          </w:rPr>
                          <w:t>:</w:t>
                        </w:r>
                      </w:p>
                    </w:tc>
                    <w:tc>
                      <w:tcPr>
                        <w:tcW w:w="4450" w:type="pct"/>
                        <w:hideMark/>
                      </w:tcPr>
                      <w:p w:rsidR="00331B7E" w:rsidRPr="00331B7E" w:rsidRDefault="00331B7E" w:rsidP="00331B7E">
                        <w:pPr>
                          <w:widowControl/>
                          <w:spacing w:line="432" w:lineRule="auto"/>
                          <w:jc w:val="left"/>
                          <w:rPr>
                            <w:rFonts w:ascii="Arial" w:eastAsia="宋体" w:hAnsi="Arial" w:cs="Arial"/>
                            <w:kern w:val="0"/>
                            <w:sz w:val="24"/>
                            <w:szCs w:val="24"/>
                          </w:rPr>
                        </w:pPr>
                        <w:r w:rsidRPr="00331B7E">
                          <w:rPr>
                            <w:rFonts w:ascii="Arial" w:eastAsia="宋体" w:hAnsi="Arial" w:cs="Arial"/>
                            <w:kern w:val="0"/>
                            <w:sz w:val="24"/>
                            <w:szCs w:val="24"/>
                          </w:rPr>
                          <w:t xml:space="preserve">  </w:t>
                        </w:r>
                      </w:p>
                      <w:p w:rsidR="00331B7E" w:rsidRPr="00331B7E" w:rsidRDefault="00331B7E" w:rsidP="00331B7E">
                        <w:pPr>
                          <w:widowControl/>
                          <w:spacing w:line="432" w:lineRule="auto"/>
                          <w:jc w:val="left"/>
                          <w:rPr>
                            <w:rFonts w:ascii="Arial" w:eastAsia="宋体" w:hAnsi="Arial" w:cs="Arial"/>
                            <w:kern w:val="0"/>
                            <w:sz w:val="24"/>
                            <w:szCs w:val="24"/>
                          </w:rPr>
                        </w:pPr>
                        <w:hyperlink r:id="rId6" w:history="1">
                          <w:r w:rsidRPr="00331B7E">
                            <w:rPr>
                              <w:rFonts w:ascii="Arial" w:eastAsia="宋体" w:hAnsi="Arial" w:cs="Arial"/>
                              <w:color w:val="000000"/>
                              <w:kern w:val="0"/>
                              <w:sz w:val="18"/>
                            </w:rPr>
                            <w:t>企业会计准则第</w:t>
                          </w:r>
                          <w:r w:rsidRPr="00331B7E">
                            <w:rPr>
                              <w:rFonts w:ascii="Arial" w:eastAsia="宋体" w:hAnsi="Arial" w:cs="Arial"/>
                              <w:color w:val="000000"/>
                              <w:kern w:val="0"/>
                              <w:sz w:val="18"/>
                            </w:rPr>
                            <w:t>37</w:t>
                          </w:r>
                          <w:r w:rsidRPr="00331B7E">
                            <w:rPr>
                              <w:rFonts w:ascii="Arial" w:eastAsia="宋体" w:hAnsi="Arial" w:cs="Arial"/>
                              <w:color w:val="000000"/>
                              <w:kern w:val="0"/>
                              <w:sz w:val="18"/>
                            </w:rPr>
                            <w:t>号</w:t>
                          </w:r>
                          <w:r w:rsidRPr="00331B7E">
                            <w:rPr>
                              <w:rFonts w:ascii="Arial" w:eastAsia="宋体" w:hAnsi="Arial" w:cs="Arial"/>
                              <w:color w:val="000000"/>
                              <w:kern w:val="0"/>
                              <w:sz w:val="18"/>
                            </w:rPr>
                            <w:t>——</w:t>
                          </w:r>
                          <w:r w:rsidRPr="00331B7E">
                            <w:rPr>
                              <w:rFonts w:ascii="Arial" w:eastAsia="宋体" w:hAnsi="Arial" w:cs="Arial"/>
                              <w:color w:val="000000"/>
                              <w:kern w:val="0"/>
                              <w:sz w:val="18"/>
                            </w:rPr>
                            <w:t>金融工具列报</w:t>
                          </w:r>
                          <w:r w:rsidRPr="00331B7E">
                            <w:rPr>
                              <w:rFonts w:ascii="Arial" w:eastAsia="宋体" w:hAnsi="Arial" w:cs="Arial"/>
                              <w:color w:val="000000"/>
                              <w:kern w:val="0"/>
                              <w:sz w:val="18"/>
                            </w:rPr>
                            <w:t>.pdf</w:t>
                          </w:r>
                        </w:hyperlink>
                        <w:r w:rsidRPr="00331B7E">
                          <w:rPr>
                            <w:rFonts w:ascii="Arial" w:eastAsia="宋体" w:hAnsi="Arial" w:cs="Arial"/>
                            <w:kern w:val="0"/>
                            <w:sz w:val="24"/>
                            <w:szCs w:val="24"/>
                          </w:rPr>
                          <w:t xml:space="preserve"> </w:t>
                        </w:r>
                        <w:r w:rsidRPr="00331B7E">
                          <w:rPr>
                            <w:rFonts w:ascii="Arial" w:eastAsia="宋体" w:hAnsi="Arial" w:cs="Arial"/>
                            <w:kern w:val="0"/>
                            <w:sz w:val="24"/>
                            <w:szCs w:val="24"/>
                          </w:rPr>
                          <w:pict/>
                        </w:r>
                      </w:p>
                    </w:tc>
                  </w:tr>
                </w:tbl>
                <w:p w:rsidR="00331B7E" w:rsidRPr="00331B7E" w:rsidRDefault="00331B7E" w:rsidP="00331B7E">
                  <w:pPr>
                    <w:widowControl/>
                    <w:spacing w:line="432" w:lineRule="auto"/>
                    <w:jc w:val="center"/>
                    <w:rPr>
                      <w:rFonts w:ascii="Arial" w:eastAsia="宋体" w:hAnsi="Arial" w:cs="Arial"/>
                      <w:kern w:val="0"/>
                      <w:sz w:val="18"/>
                      <w:szCs w:val="18"/>
                    </w:rPr>
                  </w:pPr>
                </w:p>
              </w:tc>
            </w:tr>
          </w:tbl>
          <w:p w:rsidR="00331B7E" w:rsidRPr="00331B7E" w:rsidRDefault="00331B7E" w:rsidP="00331B7E">
            <w:pPr>
              <w:widowControl/>
              <w:spacing w:line="432" w:lineRule="auto"/>
              <w:jc w:val="left"/>
              <w:rPr>
                <w:rFonts w:ascii="Arial" w:eastAsia="宋体" w:hAnsi="Arial" w:cs="Arial"/>
                <w:kern w:val="0"/>
                <w:sz w:val="18"/>
                <w:szCs w:val="18"/>
              </w:rPr>
            </w:pPr>
          </w:p>
        </w:tc>
      </w:tr>
    </w:tbl>
    <w:p w:rsidR="003C2338" w:rsidRDefault="005A4AC8"/>
    <w:sectPr w:rsidR="003C2338" w:rsidSect="00FF6B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AC8" w:rsidRDefault="005A4AC8" w:rsidP="00331B7E">
      <w:r>
        <w:separator/>
      </w:r>
    </w:p>
  </w:endnote>
  <w:endnote w:type="continuationSeparator" w:id="0">
    <w:p w:rsidR="005A4AC8" w:rsidRDefault="005A4AC8" w:rsidP="00331B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AC8" w:rsidRDefault="005A4AC8" w:rsidP="00331B7E">
      <w:r>
        <w:separator/>
      </w:r>
    </w:p>
  </w:footnote>
  <w:footnote w:type="continuationSeparator" w:id="0">
    <w:p w:rsidR="005A4AC8" w:rsidRDefault="005A4AC8" w:rsidP="00331B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1B7E"/>
    <w:rsid w:val="00331B7E"/>
    <w:rsid w:val="00337652"/>
    <w:rsid w:val="00513637"/>
    <w:rsid w:val="005A4AC8"/>
    <w:rsid w:val="00FF6B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1B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1B7E"/>
    <w:rPr>
      <w:sz w:val="18"/>
      <w:szCs w:val="18"/>
    </w:rPr>
  </w:style>
  <w:style w:type="paragraph" w:styleId="a4">
    <w:name w:val="footer"/>
    <w:basedOn w:val="a"/>
    <w:link w:val="Char0"/>
    <w:uiPriority w:val="99"/>
    <w:semiHidden/>
    <w:unhideWhenUsed/>
    <w:rsid w:val="00331B7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1B7E"/>
    <w:rPr>
      <w:sz w:val="18"/>
      <w:szCs w:val="18"/>
    </w:rPr>
  </w:style>
  <w:style w:type="character" w:styleId="a5">
    <w:name w:val="Hyperlink"/>
    <w:basedOn w:val="a0"/>
    <w:uiPriority w:val="99"/>
    <w:semiHidden/>
    <w:unhideWhenUsed/>
    <w:rsid w:val="00331B7E"/>
    <w:rPr>
      <w:strike w:val="0"/>
      <w:dstrike w:val="0"/>
      <w:color w:val="000000"/>
      <w:sz w:val="18"/>
      <w:szCs w:val="18"/>
      <w:u w:val="none"/>
      <w:effect w:val="none"/>
    </w:rPr>
  </w:style>
  <w:style w:type="character" w:styleId="a6">
    <w:name w:val="Strong"/>
    <w:basedOn w:val="a0"/>
    <w:uiPriority w:val="22"/>
    <w:qFormat/>
    <w:rsid w:val="00331B7E"/>
    <w:rPr>
      <w:b/>
      <w:bCs/>
    </w:rPr>
  </w:style>
</w:styles>
</file>

<file path=word/webSettings.xml><?xml version="1.0" encoding="utf-8"?>
<w:webSettings xmlns:r="http://schemas.openxmlformats.org/officeDocument/2006/relationships" xmlns:w="http://schemas.openxmlformats.org/wordprocessingml/2006/main">
  <w:divs>
    <w:div w:id="321810338">
      <w:bodyDiv w:val="1"/>
      <w:marLeft w:val="0"/>
      <w:marRight w:val="0"/>
      <w:marTop w:val="0"/>
      <w:marBottom w:val="0"/>
      <w:divBdr>
        <w:top w:val="none" w:sz="0" w:space="0" w:color="auto"/>
        <w:left w:val="none" w:sz="0" w:space="0" w:color="auto"/>
        <w:bottom w:val="none" w:sz="0" w:space="0" w:color="auto"/>
        <w:right w:val="none" w:sz="0" w:space="0" w:color="auto"/>
      </w:divBdr>
      <w:divsChild>
        <w:div w:id="1542550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js.mof.gov.cn/zhengwuxinxi/zhengcefabu/201407/P020140711518011651293.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2667</Words>
  <Characters>15204</Characters>
  <Application>Microsoft Office Word</Application>
  <DocSecurity>0</DocSecurity>
  <Lines>126</Lines>
  <Paragraphs>35</Paragraphs>
  <ScaleCrop>false</ScaleCrop>
  <Company>Microsoft</Company>
  <LinksUpToDate>false</LinksUpToDate>
  <CharactersWithSpaces>17836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2016-11-10T04:47:00Z</dcterms:created>
  <dcterms:modified xsi:type="dcterms:W3CDTF">2016-11-10T04:48:00Z</dcterms:modified>
</cp:coreProperties>
</file>