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D63B23" w:rsidRPr="00053ADB">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D63B23" w:rsidRPr="00053ADB">
              <w:trPr>
                <w:trHeight w:val="555"/>
                <w:tblCellSpacing w:w="0" w:type="dxa"/>
              </w:trPr>
              <w:tc>
                <w:tcPr>
                  <w:tcW w:w="0" w:type="auto"/>
                  <w:vAlign w:val="center"/>
                  <w:hideMark/>
                </w:tcPr>
                <w:p w:rsidR="00D63B23" w:rsidRPr="00053ADB" w:rsidRDefault="00D63B23" w:rsidP="00053ADB">
                  <w:pPr>
                    <w:widowControl/>
                    <w:spacing w:line="500" w:lineRule="exact"/>
                    <w:jc w:val="center"/>
                    <w:rPr>
                      <w:rFonts w:ascii="华文楷体" w:eastAsia="华文楷体" w:hAnsi="华文楷体" w:cs="Arial"/>
                      <w:b/>
                      <w:bCs/>
                      <w:color w:val="185895"/>
                      <w:kern w:val="0"/>
                      <w:sz w:val="24"/>
                      <w:szCs w:val="24"/>
                    </w:rPr>
                  </w:pPr>
                  <w:r w:rsidRPr="00053ADB">
                    <w:rPr>
                      <w:rFonts w:ascii="华文楷体" w:eastAsia="华文楷体" w:hAnsi="华文楷体" w:cs="Arial"/>
                      <w:b/>
                      <w:bCs/>
                      <w:color w:val="185895"/>
                      <w:kern w:val="0"/>
                      <w:sz w:val="24"/>
                      <w:szCs w:val="24"/>
                    </w:rPr>
                    <w:t xml:space="preserve">企业会计准则第9号--职工薪酬 </w:t>
                  </w:r>
                </w:p>
              </w:tc>
            </w:tr>
          </w:tbl>
          <w:p w:rsidR="00D63B23" w:rsidRPr="00053ADB" w:rsidRDefault="00D63B23" w:rsidP="00053ADB">
            <w:pPr>
              <w:widowControl/>
              <w:spacing w:line="500" w:lineRule="exact"/>
              <w:jc w:val="left"/>
              <w:rPr>
                <w:rFonts w:ascii="华文楷体" w:eastAsia="华文楷体" w:hAnsi="华文楷体" w:cs="Arial"/>
                <w:vanish/>
                <w:kern w:val="0"/>
                <w:sz w:val="24"/>
                <w:szCs w:val="24"/>
              </w:rPr>
            </w:pPr>
          </w:p>
          <w:tbl>
            <w:tblPr>
              <w:tblW w:w="5000" w:type="pct"/>
              <w:tblCellSpacing w:w="0" w:type="dxa"/>
              <w:tblCellMar>
                <w:left w:w="0" w:type="dxa"/>
                <w:right w:w="0" w:type="dxa"/>
              </w:tblCellMar>
              <w:tblLook w:val="04A0"/>
            </w:tblPr>
            <w:tblGrid>
              <w:gridCol w:w="8306"/>
            </w:tblGrid>
            <w:tr w:rsidR="00D63B23" w:rsidRPr="00053ADB">
              <w:trPr>
                <w:trHeight w:val="15"/>
                <w:tblCellSpacing w:w="0" w:type="dxa"/>
              </w:trPr>
              <w:tc>
                <w:tcPr>
                  <w:tcW w:w="0" w:type="auto"/>
                  <w:vAlign w:val="center"/>
                  <w:hideMark/>
                </w:tcPr>
                <w:p w:rsidR="00D63B23" w:rsidRPr="00053ADB" w:rsidRDefault="00C622DB" w:rsidP="00053ADB">
                  <w:pPr>
                    <w:widowControl/>
                    <w:spacing w:line="500" w:lineRule="exact"/>
                    <w:jc w:val="left"/>
                    <w:rPr>
                      <w:rFonts w:ascii="华文楷体" w:eastAsia="华文楷体" w:hAnsi="华文楷体" w:cs="Arial"/>
                      <w:kern w:val="0"/>
                      <w:sz w:val="24"/>
                      <w:szCs w:val="24"/>
                    </w:rPr>
                  </w:pPr>
                  <w:r w:rsidRPr="00C622DB">
                    <w:rPr>
                      <w:rFonts w:ascii="华文楷体" w:eastAsia="华文楷体" w:hAnsi="华文楷体" w:cs="Arial"/>
                      <w:kern w:val="0"/>
                      <w:sz w:val="24"/>
                      <w:szCs w:val="24"/>
                    </w:rPr>
                    <w:pict>
                      <v:rect id="_x0000_i1025" style="width:525pt;height:.75pt" o:hrpct="0" o:hralign="center" o:hrstd="t" o:hrnoshade="t" o:hr="t" fillcolor="#99c2e2" stroked="f"/>
                    </w:pict>
                  </w:r>
                </w:p>
              </w:tc>
            </w:tr>
          </w:tbl>
          <w:p w:rsidR="00D63B23" w:rsidRPr="00053ADB" w:rsidRDefault="00D63B23" w:rsidP="00053ADB">
            <w:pPr>
              <w:widowControl/>
              <w:spacing w:line="500" w:lineRule="exact"/>
              <w:jc w:val="left"/>
              <w:rPr>
                <w:rFonts w:ascii="华文楷体" w:eastAsia="华文楷体" w:hAnsi="华文楷体" w:cs="Arial"/>
                <w:vanish/>
                <w:kern w:val="0"/>
                <w:sz w:val="24"/>
                <w:szCs w:val="24"/>
              </w:rPr>
            </w:pPr>
          </w:p>
          <w:tbl>
            <w:tblPr>
              <w:tblW w:w="5000" w:type="pct"/>
              <w:tblCellSpacing w:w="0" w:type="dxa"/>
              <w:tblCellMar>
                <w:left w:w="0" w:type="dxa"/>
                <w:right w:w="0" w:type="dxa"/>
              </w:tblCellMar>
              <w:tblLook w:val="04A0"/>
            </w:tblPr>
            <w:tblGrid>
              <w:gridCol w:w="8306"/>
            </w:tblGrid>
            <w:tr w:rsidR="00D63B23" w:rsidRPr="00053ADB">
              <w:trPr>
                <w:tblCellSpacing w:w="0" w:type="dxa"/>
              </w:trPr>
              <w:tc>
                <w:tcPr>
                  <w:tcW w:w="0" w:type="auto"/>
                  <w:vAlign w:val="center"/>
                  <w:hideMark/>
                </w:tcPr>
                <w:p w:rsidR="00D63B23" w:rsidRPr="00053ADB" w:rsidRDefault="00D63B23" w:rsidP="00053ADB">
                  <w:pPr>
                    <w:widowControl/>
                    <w:spacing w:line="500" w:lineRule="exact"/>
                    <w:jc w:val="left"/>
                    <w:rPr>
                      <w:rFonts w:ascii="华文楷体" w:eastAsia="华文楷体" w:hAnsi="华文楷体" w:cs="Arial"/>
                      <w:kern w:val="0"/>
                      <w:sz w:val="24"/>
                      <w:szCs w:val="24"/>
                    </w:rPr>
                  </w:pPr>
                </w:p>
              </w:tc>
            </w:tr>
          </w:tbl>
          <w:p w:rsidR="00D63B23" w:rsidRPr="00053ADB" w:rsidRDefault="00D63B23" w:rsidP="00053ADB">
            <w:pPr>
              <w:widowControl/>
              <w:spacing w:line="500" w:lineRule="exact"/>
              <w:jc w:val="left"/>
              <w:rPr>
                <w:rFonts w:ascii="华文楷体" w:eastAsia="华文楷体" w:hAnsi="华文楷体" w:cs="Arial"/>
                <w:kern w:val="0"/>
                <w:sz w:val="24"/>
                <w:szCs w:val="24"/>
              </w:rPr>
            </w:pPr>
          </w:p>
        </w:tc>
      </w:tr>
      <w:tr w:rsidR="00D63B23" w:rsidRPr="00053ADB">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D63B23" w:rsidRPr="00053ADB">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D63B23" w:rsidRPr="00053ADB">
                    <w:trPr>
                      <w:tblCellSpacing w:w="0" w:type="dxa"/>
                      <w:jc w:val="center"/>
                    </w:trPr>
                    <w:tc>
                      <w:tcPr>
                        <w:tcW w:w="0" w:type="auto"/>
                        <w:vAlign w:val="center"/>
                        <w:hideMark/>
                      </w:tcPr>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w:t>
                        </w:r>
                      </w:p>
                      <w:p w:rsidR="00D63B23" w:rsidRPr="00053ADB" w:rsidRDefault="00D63B23" w:rsidP="00053ADB">
                        <w:pPr>
                          <w:widowControl/>
                          <w:spacing w:line="500" w:lineRule="exact"/>
                          <w:jc w:val="center"/>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w:t>
                        </w:r>
                        <w:r w:rsidRPr="00053ADB">
                          <w:rPr>
                            <w:rFonts w:ascii="华文楷体" w:eastAsia="华文楷体" w:hAnsi="华文楷体" w:cs="Arial"/>
                            <w:b/>
                            <w:bCs/>
                            <w:kern w:val="0"/>
                            <w:sz w:val="24"/>
                            <w:szCs w:val="24"/>
                          </w:rPr>
                          <w:t>第一章 总 则</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第一条 为了规范职工薪酬的确认、计量和相关信息的披露，根据《企业会计准则——基本准则》，制定本准则。</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第二条 职工薪酬，是指企业为获得职工提供的服务或解除劳动关系而给予的各种形式的报酬或补偿。职工薪</w:t>
                        </w:r>
                        <w:proofErr w:type="gramStart"/>
                        <w:r w:rsidRPr="00053ADB">
                          <w:rPr>
                            <w:rFonts w:ascii="华文楷体" w:eastAsia="华文楷体" w:hAnsi="华文楷体" w:cs="Arial"/>
                            <w:kern w:val="0"/>
                            <w:sz w:val="24"/>
                            <w:szCs w:val="24"/>
                          </w:rPr>
                          <w:t>酬</w:t>
                        </w:r>
                        <w:proofErr w:type="gramEnd"/>
                        <w:r w:rsidRPr="00053ADB">
                          <w:rPr>
                            <w:rFonts w:ascii="华文楷体" w:eastAsia="华文楷体" w:hAnsi="华文楷体" w:cs="Arial"/>
                            <w:kern w:val="0"/>
                            <w:sz w:val="24"/>
                            <w:szCs w:val="24"/>
                          </w:rPr>
                          <w:t>包括短期薪酬、离职后福利、辞退福利和其他长期职工福利。企业提供给职工配偶、子女、受赡养人、已故员工遗属及其他受益人等的福利，也属于职工薪酬。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短期薪酬，是指企业在职工提供相关服务的年度报告期间结束后十二个月内需要全部予以支付的职工薪酬，因解除与职工的劳动关系给予的补偿除外。短期薪酬具体包括：职工工资、奖金、津贴和补贴，职工福利费，医疗保险费、工伤保险费和生育保险费等社会保险费，住房公积金，工会经费和职工教育经费，短期带薪缺勤，短期利润分享计划，非货币性福利以及其他短期薪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带薪缺勤，是指企业支付工资或提供补偿的职工缺勤，包括年休假、病假、短期伤残、婚假、产假、丧假、探亲假等。利润分享计划，是指因职工提供服务而与职工达成的基于利润或其他经营成果提供薪酬的协议。</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离职后福利，是指企业为获得职工提供的服务而在职工退休或与企业解除劳动关系后，提供的各种形式的报酬和福利，短期</w:t>
                        </w:r>
                        <w:proofErr w:type="gramStart"/>
                        <w:r w:rsidRPr="00053ADB">
                          <w:rPr>
                            <w:rFonts w:ascii="华文楷体" w:eastAsia="华文楷体" w:hAnsi="华文楷体" w:cs="Arial"/>
                            <w:kern w:val="0"/>
                            <w:sz w:val="24"/>
                            <w:szCs w:val="24"/>
                          </w:rPr>
                          <w:t>薪</w:t>
                        </w:r>
                        <w:proofErr w:type="gramEnd"/>
                        <w:r w:rsidRPr="00053ADB">
                          <w:rPr>
                            <w:rFonts w:ascii="华文楷体" w:eastAsia="华文楷体" w:hAnsi="华文楷体" w:cs="Arial"/>
                            <w:kern w:val="0"/>
                            <w:sz w:val="24"/>
                            <w:szCs w:val="24"/>
                          </w:rPr>
                          <w:t>酬和辞退福利除外。</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lastRenderedPageBreak/>
                          <w:t xml:space="preserve">　　辞退福利，是指企业在职工劳动合同到期之前解除与职工的劳动关系，或者为鼓励职工自愿接受裁减而给予职工的补偿。</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其他长期职工福利，是指除短期薪酬、离职后福利、辞退福利之外所有的职工薪酬，包括长期带薪缺勤、长期残疾福利、长期利润分享计划等。</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第三条 本准则所称职工，是指与企业订立劳动合同的所有人员，含全职、兼职和临时职工，也包括虽未与企业订立劳动合同但由企业正式任命的人员。</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未与企业订立劳动合同或未由其正式任命，但向企业所提供服务与职工所提供服务类似的人员，也属于职工的范畴，包括通过企业与劳务中介公司签订用工合同而向企业提供服务的人员。</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第四条 下列各项适用其他相关会计准则：</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（一）企业年金基金，适用《企业会计准则第10号——企业年金基金》。</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（二）以股份为基础的薪酬，适用《企业会计准则第11号——股份支付》。</w:t>
                        </w:r>
                      </w:p>
                      <w:p w:rsidR="00D63B23" w:rsidRPr="00053ADB" w:rsidRDefault="00D63B23" w:rsidP="00053ADB">
                        <w:pPr>
                          <w:widowControl/>
                          <w:spacing w:line="500" w:lineRule="exact"/>
                          <w:jc w:val="center"/>
                          <w:rPr>
                            <w:rFonts w:ascii="华文楷体" w:eastAsia="华文楷体" w:hAnsi="华文楷体" w:cs="Arial"/>
                            <w:kern w:val="0"/>
                            <w:sz w:val="24"/>
                            <w:szCs w:val="24"/>
                          </w:rPr>
                        </w:pPr>
                        <w:r w:rsidRPr="00053ADB">
                          <w:rPr>
                            <w:rFonts w:ascii="华文楷体" w:eastAsia="华文楷体" w:hAnsi="华文楷体" w:cs="Arial"/>
                            <w:b/>
                            <w:bCs/>
                            <w:kern w:val="0"/>
                            <w:sz w:val="24"/>
                            <w:szCs w:val="24"/>
                          </w:rPr>
                          <w:t xml:space="preserve">　　第二章 短期薪酬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第五条 企业应当在职工为其提供服务的会计期间，将实际发生的短期薪酬确认为负债，并计入当期损益，其他会计准则要求或允许计入资产成本的除外。</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第六条 企业发生的职工福利费，应当在实际发生时根据实际发生额计入当期损益或相关资产成本。职工福利费为非货币性福利的，应当按照公允价值计量。</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第七条 企业为职工缴纳的医疗保险费、工伤保险费、生育保险费等社会保险费和住房公积金，以及按规定提取的工会经费和职工教育经费，应当在职工为其提供服务的会计期间，根据规定的计提基础和计提比例计算确定相应的职工薪酬金额，并确认相应负债，</w:t>
                        </w:r>
                        <w:r w:rsidRPr="00053ADB">
                          <w:rPr>
                            <w:rFonts w:ascii="华文楷体" w:eastAsia="华文楷体" w:hAnsi="华文楷体" w:cs="Arial"/>
                            <w:kern w:val="0"/>
                            <w:sz w:val="24"/>
                            <w:szCs w:val="24"/>
                          </w:rPr>
                          <w:lastRenderedPageBreak/>
                          <w:t>计入当期损益或相关资产成本。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第八条 带薪缺勤分为累积带薪缺勤和非累积带薪缺勤。企业应当在职工提供服务从而增加了其未来享有的带薪缺勤权利时，确认与累积带薪缺勤相关的职工薪酬，并以累积未行使权利而增加的预期支付金额计量。企业应当在职工实际发生缺勤的会计期间确认与非累积带薪缺勤相关的职工薪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w:t>
                        </w:r>
                        <w:r w:rsidRPr="00C06299">
                          <w:rPr>
                            <w:rFonts w:ascii="华文楷体" w:eastAsia="华文楷体" w:hAnsi="华文楷体" w:cs="Arial"/>
                            <w:kern w:val="0"/>
                            <w:sz w:val="24"/>
                            <w:szCs w:val="24"/>
                            <w:highlight w:val="yellow"/>
                          </w:rPr>
                          <w:t>累积带薪缺勤，是指带薪缺勤权利可以结转下期的带薪缺勤，本期尚未用完的带薪缺勤权利可以在未来期间使用。</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w:t>
                        </w:r>
                        <w:r w:rsidRPr="00C06299">
                          <w:rPr>
                            <w:rFonts w:ascii="华文楷体" w:eastAsia="华文楷体" w:hAnsi="华文楷体" w:cs="Arial"/>
                            <w:kern w:val="0"/>
                            <w:sz w:val="24"/>
                            <w:szCs w:val="24"/>
                            <w:highlight w:val="yellow"/>
                          </w:rPr>
                          <w:t>非累积带薪缺勤，是指带薪缺勤权利不能结转下期的带薪缺勤，本期尚未用完的带薪缺勤权利将予以取消，并且职工离开企业时也无权获得现金支付。</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第九条 利润分享计划同时满足下列条件的，企业应当确认相关的应付职工薪酬：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 企业因过去事项导致现在具有支</w:t>
                        </w:r>
                        <w:proofErr w:type="gramStart"/>
                        <w:r w:rsidRPr="00053ADB">
                          <w:rPr>
                            <w:rFonts w:ascii="华文楷体" w:eastAsia="华文楷体" w:hAnsi="华文楷体" w:cs="Arial"/>
                            <w:kern w:val="0"/>
                            <w:sz w:val="24"/>
                            <w:szCs w:val="24"/>
                          </w:rPr>
                          <w:t>付职</w:t>
                        </w:r>
                        <w:proofErr w:type="gramEnd"/>
                        <w:r w:rsidRPr="00053ADB">
                          <w:rPr>
                            <w:rFonts w:ascii="华文楷体" w:eastAsia="华文楷体" w:hAnsi="华文楷体" w:cs="Arial"/>
                            <w:kern w:val="0"/>
                            <w:sz w:val="24"/>
                            <w:szCs w:val="24"/>
                          </w:rPr>
                          <w:t>工薪酬的法定义务或推定义务；</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 因利润分享计划所产生的应付职工薪</w:t>
                        </w:r>
                        <w:proofErr w:type="gramStart"/>
                        <w:r w:rsidRPr="00053ADB">
                          <w:rPr>
                            <w:rFonts w:ascii="华文楷体" w:eastAsia="华文楷体" w:hAnsi="华文楷体" w:cs="Arial"/>
                            <w:kern w:val="0"/>
                            <w:sz w:val="24"/>
                            <w:szCs w:val="24"/>
                          </w:rPr>
                          <w:t>酬</w:t>
                        </w:r>
                        <w:proofErr w:type="gramEnd"/>
                        <w:r w:rsidRPr="00053ADB">
                          <w:rPr>
                            <w:rFonts w:ascii="华文楷体" w:eastAsia="华文楷体" w:hAnsi="华文楷体" w:cs="Arial"/>
                            <w:kern w:val="0"/>
                            <w:sz w:val="24"/>
                            <w:szCs w:val="24"/>
                          </w:rPr>
                          <w:t>义务金额能够可靠估计。属于下列三种情形之一的，视为义务金额能够可靠估计：</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1．在财务报告批准报出之前企业已确定应支付的薪酬金额。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2．该短期利润分享计划的正式条款中包括确定</w:t>
                        </w:r>
                        <w:proofErr w:type="gramStart"/>
                        <w:r w:rsidRPr="00053ADB">
                          <w:rPr>
                            <w:rFonts w:ascii="华文楷体" w:eastAsia="华文楷体" w:hAnsi="华文楷体" w:cs="Arial"/>
                            <w:kern w:val="0"/>
                            <w:sz w:val="24"/>
                            <w:szCs w:val="24"/>
                          </w:rPr>
                          <w:t>薪</w:t>
                        </w:r>
                        <w:proofErr w:type="gramEnd"/>
                        <w:r w:rsidRPr="00053ADB">
                          <w:rPr>
                            <w:rFonts w:ascii="华文楷体" w:eastAsia="华文楷体" w:hAnsi="华文楷体" w:cs="Arial"/>
                            <w:kern w:val="0"/>
                            <w:sz w:val="24"/>
                            <w:szCs w:val="24"/>
                          </w:rPr>
                          <w:t>酬金额的方式。</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3. 过去的惯例为企业确定推定义务金额提供了明显证据。</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第十条 职工只有在企业工作一段特定期间才能分享利润的，企业在计量利润分享计划产生的应付职工薪酬时，应当反映职工因离职而无法享受利润分享计划福利的可能性。</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如果企业在职工为其提供相关服务的年度报告期间结束后十二个月内，不需要全部支付利润分享计划产生的应付职工薪酬，该利润分享计划应当适用本准则其他长期职工福利的有关规定。</w:t>
                        </w:r>
                      </w:p>
                      <w:p w:rsidR="00D63B23" w:rsidRPr="00053ADB" w:rsidRDefault="00D63B23" w:rsidP="00053ADB">
                        <w:pPr>
                          <w:widowControl/>
                          <w:spacing w:line="500" w:lineRule="exact"/>
                          <w:jc w:val="center"/>
                          <w:rPr>
                            <w:rFonts w:ascii="华文楷体" w:eastAsia="华文楷体" w:hAnsi="华文楷体" w:cs="Arial"/>
                            <w:kern w:val="0"/>
                            <w:sz w:val="24"/>
                            <w:szCs w:val="24"/>
                          </w:rPr>
                        </w:pPr>
                        <w:r w:rsidRPr="00053ADB">
                          <w:rPr>
                            <w:rFonts w:ascii="华文楷体" w:eastAsia="华文楷体" w:hAnsi="华文楷体" w:cs="Arial"/>
                            <w:kern w:val="0"/>
                            <w:sz w:val="24"/>
                            <w:szCs w:val="24"/>
                          </w:rPr>
                          <w:lastRenderedPageBreak/>
                          <w:t xml:space="preserve">　　</w:t>
                        </w:r>
                        <w:r w:rsidRPr="00053ADB">
                          <w:rPr>
                            <w:rFonts w:ascii="华文楷体" w:eastAsia="华文楷体" w:hAnsi="华文楷体" w:cs="Arial"/>
                            <w:b/>
                            <w:bCs/>
                            <w:kern w:val="0"/>
                            <w:sz w:val="24"/>
                            <w:szCs w:val="24"/>
                          </w:rPr>
                          <w:t>第三章 离职后福利</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第十一条 企业应当将离职后福利计划分类为设定提存计划和设定受益计划。</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离职后福利计划，是指企业与职工就离职后福利达成的协议，或者企业为向职工提供离职后福利制定的规章或办法等。其中，设定提存计划，是指向独立的基金缴存固定费用后，企业不再承担进一步支付义务的离职后福利计划；设定受益计划，是指除设定提存计划以外的离职后福利计划。</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第十二条 企业应当在职工为其提供服务的会计期间，将根据设定提存计划计算的应缴存金额确认为负债，并计入当期损益或相关资产成本。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根据设定提存计划，预期不会在职工提供相关服务的年度报告期结束后十二个月内支付全部应缴存金额的，企业应当参照本准则第十五条规定的折现率，将全部应缴存金额以折现后的金额计量应付职工薪酬。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第十三条 企业对设定受益计划的会计处理通常包括下列四个步骤：</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（一）根据预期累计福利单位法，采用</w:t>
                        </w:r>
                        <w:proofErr w:type="gramStart"/>
                        <w:r w:rsidRPr="00053ADB">
                          <w:rPr>
                            <w:rFonts w:ascii="华文楷体" w:eastAsia="华文楷体" w:hAnsi="华文楷体" w:cs="Arial"/>
                            <w:kern w:val="0"/>
                            <w:sz w:val="24"/>
                            <w:szCs w:val="24"/>
                          </w:rPr>
                          <w:t>无偏且相互</w:t>
                        </w:r>
                        <w:proofErr w:type="gramEnd"/>
                        <w:r w:rsidRPr="00053ADB">
                          <w:rPr>
                            <w:rFonts w:ascii="华文楷体" w:eastAsia="华文楷体" w:hAnsi="华文楷体" w:cs="Arial"/>
                            <w:kern w:val="0"/>
                            <w:sz w:val="24"/>
                            <w:szCs w:val="24"/>
                          </w:rPr>
                          <w:t>一致的精算假设对有关人口统计变量和财务变量等做出估计，计量设定受益计划所产生的义务，并确定相关义务的归属期间。企业应当按照本准则第十五条规定的折现率将设定受益计划所产生的义务予以折现，以确定设定受益计划义务的现值和当期服务成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（二）设定受益计划存在资产的，企业应当将设定受益计划义务现值减去设定受益计划资产公允价值所形成的赤字或盈余确认为一项设定受益计划净负债或净资产。</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设定受益计划存在盈余的，企业应当以设定受益计划的盈余和资产上限两项的孰低者计量设定受益计划净资产。其中，资产上限，</w:t>
                        </w:r>
                        <w:r w:rsidRPr="00053ADB">
                          <w:rPr>
                            <w:rFonts w:ascii="华文楷体" w:eastAsia="华文楷体" w:hAnsi="华文楷体" w:cs="Arial"/>
                            <w:kern w:val="0"/>
                            <w:sz w:val="24"/>
                            <w:szCs w:val="24"/>
                          </w:rPr>
                          <w:lastRenderedPageBreak/>
                          <w:t>是指企业可从设定受益计划退款或减少未来对设定受益计划缴存资金而获得的经济利益的现值。</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（三）根据本准则第十六条的有关规定，确定应当计入当期损益的金额。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（四）根据本准则第十六条和第十七条的有关规定，确定应当计入其他综合收益的金额。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在预期累计福利单位法下，每一服务期间会增加一个单位的福利权利，并且需对每一个单位单独计量，以形成最终义务。企业应当将福利归属于提供设定受益计划的义务发生的期间。这一期间是指从职工提供服务以获取企业在</w:t>
                        </w:r>
                        <w:proofErr w:type="gramStart"/>
                        <w:r w:rsidRPr="00053ADB">
                          <w:rPr>
                            <w:rFonts w:ascii="华文楷体" w:eastAsia="华文楷体" w:hAnsi="华文楷体" w:cs="Arial"/>
                            <w:kern w:val="0"/>
                            <w:sz w:val="24"/>
                            <w:szCs w:val="24"/>
                          </w:rPr>
                          <w:t>未来报告</w:t>
                        </w:r>
                        <w:proofErr w:type="gramEnd"/>
                        <w:r w:rsidRPr="00053ADB">
                          <w:rPr>
                            <w:rFonts w:ascii="华文楷体" w:eastAsia="华文楷体" w:hAnsi="华文楷体" w:cs="Arial"/>
                            <w:kern w:val="0"/>
                            <w:sz w:val="24"/>
                            <w:szCs w:val="24"/>
                          </w:rPr>
                          <w:t>期间预计支付的设定受益计划福利开始，</w:t>
                        </w:r>
                        <w:proofErr w:type="gramStart"/>
                        <w:r w:rsidRPr="00053ADB">
                          <w:rPr>
                            <w:rFonts w:ascii="华文楷体" w:eastAsia="华文楷体" w:hAnsi="华文楷体" w:cs="Arial"/>
                            <w:kern w:val="0"/>
                            <w:sz w:val="24"/>
                            <w:szCs w:val="24"/>
                          </w:rPr>
                          <w:t>至职工</w:t>
                        </w:r>
                        <w:proofErr w:type="gramEnd"/>
                        <w:r w:rsidRPr="00053ADB">
                          <w:rPr>
                            <w:rFonts w:ascii="华文楷体" w:eastAsia="华文楷体" w:hAnsi="华文楷体" w:cs="Arial"/>
                            <w:kern w:val="0"/>
                            <w:sz w:val="24"/>
                            <w:szCs w:val="24"/>
                          </w:rPr>
                          <w:t>的继续服务不会导致这一福利金额显著增加之日为止。</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第十四条 企业应当根据预期累计福利单位法确定的公式将设定受益计划产生的福利义务归属于职工提供服务的期间，并计入当期损益或相关资产成本。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当职工后续年度的服务将导致其享有的设定受益计划福利水平显著高于以前年度时，企业应当按照直线法将累计设定受益计划义务分摊确认于职工提供服务而导致企业第一次产生设定受益计划福利义务</w:t>
                        </w:r>
                        <w:proofErr w:type="gramStart"/>
                        <w:r w:rsidRPr="00053ADB">
                          <w:rPr>
                            <w:rFonts w:ascii="华文楷体" w:eastAsia="华文楷体" w:hAnsi="华文楷体" w:cs="Arial"/>
                            <w:kern w:val="0"/>
                            <w:sz w:val="24"/>
                            <w:szCs w:val="24"/>
                          </w:rPr>
                          <w:t>至职工</w:t>
                        </w:r>
                        <w:proofErr w:type="gramEnd"/>
                        <w:r w:rsidRPr="00053ADB">
                          <w:rPr>
                            <w:rFonts w:ascii="华文楷体" w:eastAsia="华文楷体" w:hAnsi="华文楷体" w:cs="Arial"/>
                            <w:kern w:val="0"/>
                            <w:sz w:val="24"/>
                            <w:szCs w:val="24"/>
                          </w:rPr>
                          <w:t>提供服务不再导致该福利义务显著增加的期间。在确定该归属期间时，不应考虑仅因未来工资水平提高而导致设定受益计划义务显著增加的情况。</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第十五条 企业应当对所有设定受益计划义务予以折现，包括预期在职工提供服务的年度报告期间结束后的十二个月内支付的义务。折现时所采用的折现率应当根据资产负债表日与设定受益计划义务期限和币种相匹配的国债或活跃市场上的高质量公司债券的市场收益率确定。</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第十六条 报告期末，企业应当将设定受益计划产生的职工薪</w:t>
                        </w:r>
                        <w:proofErr w:type="gramStart"/>
                        <w:r w:rsidRPr="00053ADB">
                          <w:rPr>
                            <w:rFonts w:ascii="华文楷体" w:eastAsia="华文楷体" w:hAnsi="华文楷体" w:cs="Arial"/>
                            <w:kern w:val="0"/>
                            <w:sz w:val="24"/>
                            <w:szCs w:val="24"/>
                          </w:rPr>
                          <w:t>酬</w:t>
                        </w:r>
                        <w:proofErr w:type="gramEnd"/>
                        <w:r w:rsidRPr="00053ADB">
                          <w:rPr>
                            <w:rFonts w:ascii="华文楷体" w:eastAsia="华文楷体" w:hAnsi="华文楷体" w:cs="Arial"/>
                            <w:kern w:val="0"/>
                            <w:sz w:val="24"/>
                            <w:szCs w:val="24"/>
                          </w:rPr>
                          <w:lastRenderedPageBreak/>
                          <w:t>成本确认为下列组成部分：</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服务成本，包括当期服务成本、过去服务成本和结算利得或损失。其中，当期服务成本，是指职工当期提供服务所导致的设定受益计划义务现值的增加额；过去服务成本，是指设定受益计划修改所导致的与以前期间职工服务相关的设定受益计划义务现值的增加或减少。</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（二）设定受益计划净负债或净资产的利息净额，包括计划资产的利息收益、设定受益计划义务的利息费用以及资产上限影响的利息。</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（三）重新计量设定受益计划净负债或净资产所产生的变动。</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除非其他会计准则要求或允许职工福利成本计入资产成本，上述第（一）项和第（二）项应计入当期损益；第（三）项应计入其他综合收益，并且在后续会计期间不允许转回至损益，但企业可以在权益范围内转移这些在其他综合收益中确认的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第十七条 重新计量设定受益计划净负债或净资产所产生的变动包括下列部分：</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（一）精算利得或损失，即由于精算假设和经验调整导致之前所计量的设定受益计划义务现值的增加或减少。</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（二）计划资产回报，扣除包括在设定受益计划净负债或净资产的利息净额中的金额。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（三）资产上限影响的变动，扣除包括在设定受益计划净负债或净资产的利息净额中的金额。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第十八条 在设定受益计划下，企业应当在下列日期</w:t>
                        </w:r>
                        <w:proofErr w:type="gramStart"/>
                        <w:r w:rsidRPr="00053ADB">
                          <w:rPr>
                            <w:rFonts w:ascii="华文楷体" w:eastAsia="华文楷体" w:hAnsi="华文楷体" w:cs="Arial"/>
                            <w:kern w:val="0"/>
                            <w:sz w:val="24"/>
                            <w:szCs w:val="24"/>
                          </w:rPr>
                          <w:t>孰</w:t>
                        </w:r>
                        <w:proofErr w:type="gramEnd"/>
                        <w:r w:rsidRPr="00053ADB">
                          <w:rPr>
                            <w:rFonts w:ascii="华文楷体" w:eastAsia="华文楷体" w:hAnsi="华文楷体" w:cs="Arial"/>
                            <w:kern w:val="0"/>
                            <w:sz w:val="24"/>
                            <w:szCs w:val="24"/>
                          </w:rPr>
                          <w:t>早日将过去服务成本确认为当期费用：</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（一）修改设定受益计划时。</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（二）企业确认相关重组费用或辞退福利时。</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第十九条 企业应当在设定受益计划结算时，确认一项结算利得</w:t>
                        </w:r>
                        <w:r w:rsidRPr="00053ADB">
                          <w:rPr>
                            <w:rFonts w:ascii="华文楷体" w:eastAsia="华文楷体" w:hAnsi="华文楷体" w:cs="Arial"/>
                            <w:kern w:val="0"/>
                            <w:sz w:val="24"/>
                            <w:szCs w:val="24"/>
                          </w:rPr>
                          <w:lastRenderedPageBreak/>
                          <w:t>或损失。</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设定受益计划结算，是指企业为了消除设定受益计划所产生的部分或所有未来义务进行的交易，而不是根据计划条款和所包含的精算假设向职工支付福利。设定受益计划结算利得或损失是下列两项的差额：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（一）在结算日确定的设定受益计划义务现值。</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（二）结算价格，包括转移的计划资产的公允价值和企业直接发生的与结算相关的支付。</w:t>
                        </w:r>
                      </w:p>
                      <w:p w:rsidR="00D63B23" w:rsidRPr="00053ADB" w:rsidRDefault="00D63B23" w:rsidP="00053ADB">
                        <w:pPr>
                          <w:widowControl/>
                          <w:spacing w:line="500" w:lineRule="exact"/>
                          <w:jc w:val="center"/>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w:t>
                        </w:r>
                        <w:r w:rsidRPr="00053ADB">
                          <w:rPr>
                            <w:rFonts w:ascii="华文楷体" w:eastAsia="华文楷体" w:hAnsi="华文楷体" w:cs="Arial"/>
                            <w:b/>
                            <w:bCs/>
                            <w:kern w:val="0"/>
                            <w:sz w:val="24"/>
                            <w:szCs w:val="24"/>
                          </w:rPr>
                          <w:t>第四章 辞退福利</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第二十条 企业向职工提供辞退福利的，应当在下列两者</w:t>
                        </w:r>
                        <w:proofErr w:type="gramStart"/>
                        <w:r w:rsidRPr="00053ADB">
                          <w:rPr>
                            <w:rFonts w:ascii="华文楷体" w:eastAsia="华文楷体" w:hAnsi="华文楷体" w:cs="Arial"/>
                            <w:kern w:val="0"/>
                            <w:sz w:val="24"/>
                            <w:szCs w:val="24"/>
                          </w:rPr>
                          <w:t>孰</w:t>
                        </w:r>
                        <w:proofErr w:type="gramEnd"/>
                        <w:r w:rsidRPr="00053ADB">
                          <w:rPr>
                            <w:rFonts w:ascii="华文楷体" w:eastAsia="华文楷体" w:hAnsi="华文楷体" w:cs="Arial"/>
                            <w:kern w:val="0"/>
                            <w:sz w:val="24"/>
                            <w:szCs w:val="24"/>
                          </w:rPr>
                          <w:t>早日确认辞退福利产生的职工薪</w:t>
                        </w:r>
                        <w:proofErr w:type="gramStart"/>
                        <w:r w:rsidRPr="00053ADB">
                          <w:rPr>
                            <w:rFonts w:ascii="华文楷体" w:eastAsia="华文楷体" w:hAnsi="华文楷体" w:cs="Arial"/>
                            <w:kern w:val="0"/>
                            <w:sz w:val="24"/>
                            <w:szCs w:val="24"/>
                          </w:rPr>
                          <w:t>酬</w:t>
                        </w:r>
                        <w:proofErr w:type="gramEnd"/>
                        <w:r w:rsidRPr="00053ADB">
                          <w:rPr>
                            <w:rFonts w:ascii="华文楷体" w:eastAsia="华文楷体" w:hAnsi="华文楷体" w:cs="Arial"/>
                            <w:kern w:val="0"/>
                            <w:sz w:val="24"/>
                            <w:szCs w:val="24"/>
                          </w:rPr>
                          <w:t>负债，并计入当期损益：</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（一）企业不能单方面撤回因解除劳动关系计划或裁减建议所提供的辞退福利时。</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（二）企业确认与涉及支付辞退福利的重组相关的成本或费用时。</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第二十一条 企业应当按照辞退计划条款的规定，合理预计并确认辞退福利产生的应付职工薪酬。辞退福利预期在其确认的年度报告期结束后十二个月内完全支付的，应当适用短期薪酬的相关规定；辞退福利预期在年度报告期结束后十二个月内不能完全支付的，应当适用本准则关于其他长期职工福利的有关规定。</w:t>
                        </w:r>
                      </w:p>
                      <w:p w:rsidR="00D63B23" w:rsidRPr="00053ADB" w:rsidRDefault="00D63B23" w:rsidP="00053ADB">
                        <w:pPr>
                          <w:widowControl/>
                          <w:spacing w:line="500" w:lineRule="exact"/>
                          <w:jc w:val="center"/>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w:t>
                        </w:r>
                        <w:r w:rsidRPr="00053ADB">
                          <w:rPr>
                            <w:rFonts w:ascii="华文楷体" w:eastAsia="华文楷体" w:hAnsi="华文楷体" w:cs="Arial"/>
                            <w:b/>
                            <w:bCs/>
                            <w:kern w:val="0"/>
                            <w:sz w:val="24"/>
                            <w:szCs w:val="24"/>
                          </w:rPr>
                          <w:t>第五章 其他长期职工福利</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第二十二条 企业向职工提供的其他长期职工福利，符合设定提存计划条件的，应当适用本准则第十二条关于设定提存计划的有关规定进行处理。</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第二十三条 除上述第二十二条规定的情形外，企业应当适用本准则关于设定受益计划的有关规定，确认和计量其他长期职工福利净负债或净资产。在报告期末，企业应当将其他长期职工福利产生</w:t>
                        </w:r>
                        <w:r w:rsidRPr="00053ADB">
                          <w:rPr>
                            <w:rFonts w:ascii="华文楷体" w:eastAsia="华文楷体" w:hAnsi="华文楷体" w:cs="Arial"/>
                            <w:kern w:val="0"/>
                            <w:sz w:val="24"/>
                            <w:szCs w:val="24"/>
                          </w:rPr>
                          <w:lastRenderedPageBreak/>
                          <w:t>的职工薪</w:t>
                        </w:r>
                        <w:proofErr w:type="gramStart"/>
                        <w:r w:rsidRPr="00053ADB">
                          <w:rPr>
                            <w:rFonts w:ascii="华文楷体" w:eastAsia="华文楷体" w:hAnsi="华文楷体" w:cs="Arial"/>
                            <w:kern w:val="0"/>
                            <w:sz w:val="24"/>
                            <w:szCs w:val="24"/>
                          </w:rPr>
                          <w:t>酬</w:t>
                        </w:r>
                        <w:proofErr w:type="gramEnd"/>
                        <w:r w:rsidRPr="00053ADB">
                          <w:rPr>
                            <w:rFonts w:ascii="华文楷体" w:eastAsia="华文楷体" w:hAnsi="华文楷体" w:cs="Arial"/>
                            <w:kern w:val="0"/>
                            <w:sz w:val="24"/>
                            <w:szCs w:val="24"/>
                          </w:rPr>
                          <w:t>成本确认为下列组成部分：</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（一）服务成本。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（二）其他长期职工福利净负债或净资产的利息净额。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（三）重新计量其他长期职工福利净负债或净资产所产生的变动。</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为简化相关会计处理，上述项目的总净额应计入当期损益或相关资产成本。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第二十四条 长期残疾福利水平取决于职工提供服务期间长短的，企业应当在职工提供服务的期间确认应付长期残疾福利义务，计量时应当考虑长期残疾福利支付的可能性和预期支付的期限；长期残疾福利与职工提供服务期间长短无关的，企业应当在导致职工长期残疾的事件发生的当期确认应付长期残疾福利义务。</w:t>
                        </w:r>
                      </w:p>
                      <w:p w:rsidR="00D63B23" w:rsidRPr="00053ADB" w:rsidRDefault="00D63B23" w:rsidP="00053ADB">
                        <w:pPr>
                          <w:widowControl/>
                          <w:spacing w:line="500" w:lineRule="exact"/>
                          <w:jc w:val="center"/>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w:t>
                        </w:r>
                        <w:r w:rsidRPr="00053ADB">
                          <w:rPr>
                            <w:rFonts w:ascii="华文楷体" w:eastAsia="华文楷体" w:hAnsi="华文楷体" w:cs="Arial"/>
                            <w:b/>
                            <w:bCs/>
                            <w:kern w:val="0"/>
                            <w:sz w:val="24"/>
                            <w:szCs w:val="24"/>
                          </w:rPr>
                          <w:t>第六章 披 露</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第二十五条 企业应当在附注中披露与短期职工薪</w:t>
                        </w:r>
                        <w:proofErr w:type="gramStart"/>
                        <w:r w:rsidRPr="00053ADB">
                          <w:rPr>
                            <w:rFonts w:ascii="华文楷体" w:eastAsia="华文楷体" w:hAnsi="华文楷体" w:cs="Arial"/>
                            <w:kern w:val="0"/>
                            <w:sz w:val="24"/>
                            <w:szCs w:val="24"/>
                          </w:rPr>
                          <w:t>酬</w:t>
                        </w:r>
                        <w:proofErr w:type="gramEnd"/>
                        <w:r w:rsidRPr="00053ADB">
                          <w:rPr>
                            <w:rFonts w:ascii="华文楷体" w:eastAsia="华文楷体" w:hAnsi="华文楷体" w:cs="Arial"/>
                            <w:kern w:val="0"/>
                            <w:sz w:val="24"/>
                            <w:szCs w:val="24"/>
                          </w:rPr>
                          <w:t>有关的下列信息：</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（一）应当支付给职工的工资、奖金、津贴和补贴及其期末应付未付金额。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（二）应当为职工缴纳的医疗保险费、工伤保险费和生育保险费等社会保险费及其期末应付未付金额。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（三）应当为职工缴存的住房公积金及其期末应付未付金额。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（四）为职工提供的非货币性福利及其计算依据。</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（五）依据短期利润分享计划提供的职工薪酬金额及其计算依据。</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（六）其他短期薪酬。</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第二十六条 企业应当披露所设立或参与的设定提存计划的性质、计算缴费金额的公式或依据，当期缴费金额以及期末应付未付金额。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lastRenderedPageBreak/>
                          <w:t xml:space="preserve">　　第二十七条 企业应当披露与设定受益计划有关的下列信息：</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（一）设定受益计划的特征及与之相关的风险。</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（二）设定受益计划在财务报表中确认的金额及其变动。</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（三）设定受益计划对企业未来现金流量金额、时间和不确定性的影响。</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（四）设定受益计划义务现值所依赖的重大精算假设及有关敏感性分析的结果。</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第二十八条 企业应当披露支付的因解除劳动关系所提供辞退福利及其期末应付未付金额。</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第二十九条 企业应当披露提供的其他长期职工福利的性质、金额及其计算依据。</w:t>
                        </w:r>
                      </w:p>
                      <w:p w:rsidR="00D63B23" w:rsidRPr="00053ADB" w:rsidRDefault="00D63B23" w:rsidP="00053ADB">
                        <w:pPr>
                          <w:widowControl/>
                          <w:spacing w:line="500" w:lineRule="exact"/>
                          <w:jc w:val="center"/>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w:t>
                        </w:r>
                        <w:r w:rsidRPr="00053ADB">
                          <w:rPr>
                            <w:rFonts w:ascii="华文楷体" w:eastAsia="华文楷体" w:hAnsi="华文楷体" w:cs="Arial"/>
                            <w:b/>
                            <w:bCs/>
                            <w:kern w:val="0"/>
                            <w:sz w:val="24"/>
                            <w:szCs w:val="24"/>
                          </w:rPr>
                          <w:t>第七章 衔接规定</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第三十条 对于本准则施行</w:t>
                        </w:r>
                        <w:proofErr w:type="gramStart"/>
                        <w:r w:rsidRPr="00053ADB">
                          <w:rPr>
                            <w:rFonts w:ascii="华文楷体" w:eastAsia="华文楷体" w:hAnsi="华文楷体" w:cs="Arial"/>
                            <w:kern w:val="0"/>
                            <w:sz w:val="24"/>
                            <w:szCs w:val="24"/>
                          </w:rPr>
                          <w:t>日存在</w:t>
                        </w:r>
                        <w:proofErr w:type="gramEnd"/>
                        <w:r w:rsidRPr="00053ADB">
                          <w:rPr>
                            <w:rFonts w:ascii="华文楷体" w:eastAsia="华文楷体" w:hAnsi="华文楷体" w:cs="Arial"/>
                            <w:kern w:val="0"/>
                            <w:sz w:val="24"/>
                            <w:szCs w:val="24"/>
                          </w:rPr>
                          <w:t>的离职后福利计划、辞退福利、其他长期职工福利，除本准则三十一条规定外，应当按照《企业会计准则第28号——会计政策、会计估计变更和差错更正》的规定采用追溯调整法处理。</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第三十一条 企业比较财务报表中披露的本准则施行之前的信息与本准则要求不一致的，不需要按照本准则的规定进行调整。</w:t>
                        </w:r>
                      </w:p>
                      <w:p w:rsidR="00D63B23" w:rsidRPr="00053ADB" w:rsidRDefault="00D63B23" w:rsidP="00053ADB">
                        <w:pPr>
                          <w:widowControl/>
                          <w:spacing w:line="500" w:lineRule="exact"/>
                          <w:jc w:val="center"/>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w:t>
                        </w:r>
                        <w:r w:rsidRPr="00053ADB">
                          <w:rPr>
                            <w:rFonts w:ascii="华文楷体" w:eastAsia="华文楷体" w:hAnsi="华文楷体" w:cs="Arial"/>
                            <w:b/>
                            <w:bCs/>
                            <w:kern w:val="0"/>
                            <w:sz w:val="24"/>
                            <w:szCs w:val="24"/>
                          </w:rPr>
                          <w:t>第八章 附 则</w:t>
                        </w:r>
                      </w:p>
                      <w:p w:rsidR="00D63B23" w:rsidRPr="00053ADB" w:rsidRDefault="00D63B23" w:rsidP="00053ADB">
                        <w:pPr>
                          <w:widowControl/>
                          <w:spacing w:line="500" w:lineRule="exact"/>
                          <w:jc w:val="left"/>
                          <w:rPr>
                            <w:rFonts w:ascii="华文楷体" w:eastAsia="华文楷体" w:hAnsi="华文楷体" w:cs="Arial"/>
                            <w:kern w:val="0"/>
                            <w:sz w:val="24"/>
                            <w:szCs w:val="24"/>
                          </w:rPr>
                        </w:pPr>
                        <w:r w:rsidRPr="00053ADB">
                          <w:rPr>
                            <w:rFonts w:ascii="华文楷体" w:eastAsia="华文楷体" w:hAnsi="华文楷体" w:cs="Arial"/>
                            <w:kern w:val="0"/>
                            <w:sz w:val="24"/>
                            <w:szCs w:val="24"/>
                          </w:rPr>
                          <w:t xml:space="preserve">　　第三十二条 本准则自2014年7月1日起施行。</w:t>
                        </w:r>
                      </w:p>
                    </w:tc>
                  </w:tr>
                </w:tbl>
                <w:p w:rsidR="00D63B23" w:rsidRPr="00053ADB" w:rsidRDefault="00D63B23" w:rsidP="00053ADB">
                  <w:pPr>
                    <w:widowControl/>
                    <w:spacing w:line="500" w:lineRule="exact"/>
                    <w:jc w:val="center"/>
                    <w:rPr>
                      <w:rFonts w:ascii="华文楷体" w:eastAsia="华文楷体" w:hAnsi="华文楷体" w:cs="Arial"/>
                      <w:kern w:val="0"/>
                      <w:sz w:val="24"/>
                      <w:szCs w:val="24"/>
                    </w:rPr>
                  </w:pPr>
                </w:p>
              </w:tc>
            </w:tr>
          </w:tbl>
          <w:p w:rsidR="00D63B23" w:rsidRPr="00053ADB" w:rsidRDefault="00D63B23" w:rsidP="00053ADB">
            <w:pPr>
              <w:widowControl/>
              <w:spacing w:line="500" w:lineRule="exact"/>
              <w:jc w:val="left"/>
              <w:rPr>
                <w:rFonts w:ascii="华文楷体" w:eastAsia="华文楷体" w:hAnsi="华文楷体" w:cs="Arial"/>
                <w:kern w:val="0"/>
                <w:sz w:val="24"/>
                <w:szCs w:val="24"/>
              </w:rPr>
            </w:pPr>
          </w:p>
        </w:tc>
      </w:tr>
    </w:tbl>
    <w:p w:rsidR="003C2338" w:rsidRPr="00053ADB" w:rsidRDefault="006241AC" w:rsidP="00053ADB">
      <w:pPr>
        <w:spacing w:line="500" w:lineRule="exact"/>
        <w:rPr>
          <w:rFonts w:ascii="华文楷体" w:eastAsia="华文楷体" w:hAnsi="华文楷体"/>
          <w:sz w:val="24"/>
          <w:szCs w:val="24"/>
        </w:rPr>
      </w:pPr>
    </w:p>
    <w:sectPr w:rsidR="003C2338" w:rsidRPr="00053ADB" w:rsidSect="008B73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AC" w:rsidRDefault="006241AC" w:rsidP="00D63B23">
      <w:r>
        <w:separator/>
      </w:r>
    </w:p>
  </w:endnote>
  <w:endnote w:type="continuationSeparator" w:id="0">
    <w:p w:rsidR="006241AC" w:rsidRDefault="006241AC" w:rsidP="00D63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AC" w:rsidRDefault="006241AC" w:rsidP="00D63B23">
      <w:r>
        <w:separator/>
      </w:r>
    </w:p>
  </w:footnote>
  <w:footnote w:type="continuationSeparator" w:id="0">
    <w:p w:rsidR="006241AC" w:rsidRDefault="006241AC" w:rsidP="00D63B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B23"/>
    <w:rsid w:val="00053ADB"/>
    <w:rsid w:val="00337652"/>
    <w:rsid w:val="00485297"/>
    <w:rsid w:val="00513637"/>
    <w:rsid w:val="006241AC"/>
    <w:rsid w:val="006A45B9"/>
    <w:rsid w:val="00892909"/>
    <w:rsid w:val="008B7301"/>
    <w:rsid w:val="00C06299"/>
    <w:rsid w:val="00C622DB"/>
    <w:rsid w:val="00D1167E"/>
    <w:rsid w:val="00D63B23"/>
    <w:rsid w:val="00DC6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B23"/>
    <w:rPr>
      <w:sz w:val="18"/>
      <w:szCs w:val="18"/>
    </w:rPr>
  </w:style>
  <w:style w:type="paragraph" w:styleId="a4">
    <w:name w:val="footer"/>
    <w:basedOn w:val="a"/>
    <w:link w:val="Char0"/>
    <w:uiPriority w:val="99"/>
    <w:semiHidden/>
    <w:unhideWhenUsed/>
    <w:rsid w:val="00D63B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B23"/>
    <w:rPr>
      <w:sz w:val="18"/>
      <w:szCs w:val="18"/>
    </w:rPr>
  </w:style>
  <w:style w:type="character" w:styleId="a5">
    <w:name w:val="Strong"/>
    <w:basedOn w:val="a0"/>
    <w:uiPriority w:val="22"/>
    <w:qFormat/>
    <w:rsid w:val="00D63B23"/>
    <w:rPr>
      <w:b/>
      <w:bCs/>
    </w:rPr>
  </w:style>
</w:styles>
</file>

<file path=word/webSettings.xml><?xml version="1.0" encoding="utf-8"?>
<w:webSettings xmlns:r="http://schemas.openxmlformats.org/officeDocument/2006/relationships" xmlns:w="http://schemas.openxmlformats.org/wordprocessingml/2006/main">
  <w:divs>
    <w:div w:id="602152794">
      <w:bodyDiv w:val="1"/>
      <w:marLeft w:val="0"/>
      <w:marRight w:val="0"/>
      <w:marTop w:val="0"/>
      <w:marBottom w:val="0"/>
      <w:divBdr>
        <w:top w:val="none" w:sz="0" w:space="0" w:color="auto"/>
        <w:left w:val="none" w:sz="0" w:space="0" w:color="auto"/>
        <w:bottom w:val="none" w:sz="0" w:space="0" w:color="auto"/>
        <w:right w:val="none" w:sz="0" w:space="0" w:color="auto"/>
      </w:divBdr>
      <w:divsChild>
        <w:div w:id="1294016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805</Words>
  <Characters>4591</Characters>
  <Application>Microsoft Office Word</Application>
  <DocSecurity>0</DocSecurity>
  <Lines>38</Lines>
  <Paragraphs>10</Paragraphs>
  <ScaleCrop>false</ScaleCrop>
  <Company>Microsoft</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2016-12-06T05:25:00Z</dcterms:created>
  <dcterms:modified xsi:type="dcterms:W3CDTF">2017-12-08T06:19:00Z</dcterms:modified>
</cp:coreProperties>
</file>